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bookmarkStart w:id="0" w:name="_Hlk40627719"/>
      <w:bookmarkEnd w:id="0"/>
    </w:p>
    <w:p>
      <w:pPr>
        <w:widowControl/>
        <w:spacing w:line="480" w:lineRule="auto"/>
        <w:jc w:val="center"/>
        <w:rPr>
          <w:rFonts w:hint="eastAsia" w:ascii="Times New Roman" w:hAnsi="Times New Roman" w:eastAsia="方正小标宋简体" w:cs="Times New Roman"/>
          <w:sz w:val="36"/>
          <w:szCs w:val="36"/>
          <w:lang w:eastAsia="zh-CN"/>
        </w:rPr>
      </w:pPr>
      <w:bookmarkStart w:id="70" w:name="_GoBack"/>
      <w:r>
        <w:rPr>
          <w:rFonts w:ascii="Times New Roman" w:hAnsi="Times New Roman" w:eastAsia="方正小标宋简体" w:cs="Times New Roman"/>
          <w:sz w:val="36"/>
          <w:szCs w:val="36"/>
        </w:rPr>
        <w:t>哈尔</w:t>
      </w:r>
      <w:r>
        <w:rPr>
          <w:rFonts w:hint="eastAsia" w:ascii="方正小标宋简体" w:hAnsi="方正小标宋简体" w:eastAsia="方正小标宋简体" w:cs="方正小标宋简体"/>
          <w:sz w:val="36"/>
          <w:szCs w:val="36"/>
        </w:rPr>
        <w:t>滨工程大学</w:t>
      </w:r>
      <w:r>
        <w:rPr>
          <w:rFonts w:hint="eastAsia" w:ascii="方正小标宋简体" w:hAnsi="方正小标宋简体" w:eastAsia="方正小标宋简体" w:cs="方正小标宋简体"/>
          <w:sz w:val="36"/>
          <w:szCs w:val="36"/>
          <w:lang w:val="en-US" w:eastAsia="zh-CN"/>
        </w:rPr>
        <w:t>2022年</w:t>
      </w:r>
      <w:r>
        <w:rPr>
          <w:rFonts w:hint="eastAsia" w:ascii="Times New Roman" w:hAnsi="Times New Roman" w:eastAsia="方正小标宋简体" w:cs="Times New Roman"/>
          <w:sz w:val="36"/>
          <w:szCs w:val="36"/>
          <w:lang w:val="en-US" w:eastAsia="zh-CN"/>
        </w:rPr>
        <w:t>度</w:t>
      </w:r>
      <w:r>
        <w:rPr>
          <w:rFonts w:ascii="Times New Roman" w:hAnsi="Times New Roman" w:eastAsia="方正小标宋简体" w:cs="Times New Roman"/>
          <w:sz w:val="36"/>
          <w:szCs w:val="36"/>
        </w:rPr>
        <w:t>继续教育发展年度报告</w:t>
      </w:r>
    </w:p>
    <w:bookmarkEnd w:id="70"/>
    <w:p>
      <w:pPr>
        <w:keepNext w:val="0"/>
        <w:keepLines w:val="0"/>
        <w:pageBreakBefore w:val="0"/>
        <w:widowControl/>
        <w:kinsoku/>
        <w:wordWrap/>
        <w:overflowPunct/>
        <w:topLinePunct w:val="0"/>
        <w:autoSpaceDE/>
        <w:autoSpaceDN/>
        <w:bidi w:val="0"/>
        <w:adjustRightInd/>
        <w:snapToGrid/>
        <w:spacing w:line="400" w:lineRule="exact"/>
        <w:ind w:firstLine="643" w:firstLineChars="200"/>
        <w:jc w:val="left"/>
        <w:textAlignment w:val="auto"/>
        <w:outlineLvl w:val="0"/>
        <w:rPr>
          <w:rFonts w:ascii="Times New Roman" w:hAnsi="Times New Roman" w:eastAsia="黑体" w:cs="Times New Roman"/>
          <w:b/>
          <w:sz w:val="32"/>
          <w:szCs w:val="32"/>
        </w:rPr>
      </w:pPr>
      <w:bookmarkStart w:id="1" w:name="_Toc111538251"/>
      <w:bookmarkStart w:id="2" w:name="_Toc112076247"/>
    </w:p>
    <w:p>
      <w:pPr>
        <w:widowControl/>
        <w:spacing w:line="560" w:lineRule="exact"/>
        <w:ind w:firstLine="643" w:firstLineChars="200"/>
        <w:jc w:val="left"/>
        <w:outlineLvl w:val="0"/>
        <w:rPr>
          <w:rFonts w:ascii="Times New Roman" w:hAnsi="Times New Roman" w:eastAsia="黑体" w:cs="Times New Roman"/>
          <w:kern w:val="0"/>
          <w:sz w:val="32"/>
          <w:szCs w:val="32"/>
        </w:rPr>
      </w:pPr>
      <w:r>
        <w:rPr>
          <w:rFonts w:ascii="Times New Roman" w:hAnsi="Times New Roman" w:eastAsia="黑体" w:cs="Times New Roman"/>
          <w:b/>
          <w:sz w:val="32"/>
          <w:szCs w:val="32"/>
        </w:rPr>
        <w:t>一、学校情况</w:t>
      </w:r>
      <w:bookmarkEnd w:id="1"/>
      <w:bookmarkEnd w:id="2"/>
    </w:p>
    <w:p>
      <w:pPr>
        <w:pStyle w:val="45"/>
        <w:keepNext w:val="0"/>
        <w:keepLines w:val="0"/>
        <w:spacing w:line="560" w:lineRule="exact"/>
        <w:rPr>
          <w:rFonts w:ascii="Times New Roman" w:hAnsi="Times New Roman" w:eastAsia="楷体_GB2312" w:cs="Times New Roman"/>
        </w:rPr>
      </w:pPr>
      <w:r>
        <w:rPr>
          <w:rFonts w:ascii="Times New Roman" w:hAnsi="Times New Roman" w:cs="Times New Roman"/>
          <w:b w:val="0"/>
        </w:rPr>
        <w:t xml:space="preserve"> </w:t>
      </w:r>
      <w:r>
        <w:rPr>
          <w:rFonts w:ascii="Times New Roman" w:hAnsi="Times New Roman" w:eastAsia="楷体_GB2312" w:cs="Times New Roman"/>
          <w:b w:val="0"/>
        </w:rPr>
        <w:t xml:space="preserve">  </w:t>
      </w:r>
      <w:bookmarkStart w:id="3" w:name="_Toc111538252"/>
      <w:bookmarkStart w:id="4" w:name="_Toc112076248"/>
      <w:r>
        <w:rPr>
          <w:rFonts w:ascii="Times New Roman" w:hAnsi="Times New Roman" w:eastAsia="楷体_GB2312" w:cs="Times New Roman"/>
          <w:kern w:val="2"/>
        </w:rPr>
        <w:t>（一）学校概况</w:t>
      </w:r>
      <w:bookmarkEnd w:id="3"/>
      <w:bookmarkEnd w:id="4"/>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哈尔滨工程大学前身是创建于1953年的中国人民解放军军事工程学院（“哈军工”）。1970年，以海军工程系全建制为基础，在“哈军工”原址组建哈尔滨船舶工程学院；学校1978年被国务院确定为全国重点大学；是首批具有博士、硕士学位授予权单位，首批“211工程”重点建设高校；1994年更名为哈尔滨工程大学； 2017年进入国家“双一流”建设行列。学校现隶属于国家工业和信息化部，是国家“三海一核”（船舶工业、海军装备、海洋开发、核能应用）领域重要的人才培养和科学研究基地。</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设有17个学院（系、部），现有一级学科博士学位授权点14个，一级学科硕士学位授权点32个，国家一级、二级重点学科各1个，黑龙江省重点学科群1个、一级重点学科11个。现有本科专业65个，国家级一流本科专业建设点33个，教育部特色专业7个，卓越工程师教育培养计划专业4个，4个专业入选国家级专业综合改革试点项目。在国家第四轮学科评估中，船舶与海洋工程、控制科学与工程学科分别获得A+和A-等级，一级学科博士学位授权点全部进入全国前30%。</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现有教职工2924人，其中专任教师1834人，具有高级专业技术职务的专任教师1190人。教师队伍中现有院士8人，各类国家级人才85人次，各类省部级人才94人次；教育部创新团队2个，国防科技创新团队9个，科技部重点领域创新团队3个，黑龙江省领军人才梯队8个。现有学生2.9万余人,其中本科生1.6万余人、硕士研究生9千余人、博士研究生2800余人。建校以来，学校为国家培养了14万余名各类高级专门人才，其中包括200多名共和国的将军、部长、省长、院士，3000多名高等院校、科研院所、大中型企业的技术领军和高级管理人才。</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科研工作一直是学校发展的先行力量，学校在船海核领域保持着很强的技术储备，水下智能、水声定位、高性能舰船设计等技术居国内领先或国际先进地位，现已成为我国舰船科学技术基础和应用研究的主力军之一、我国发展海洋高技术的重要依托力量。“十三五”以来，承担各类科研任务5700余项，获得省部级以上科技奖励130余项。科研产品质量管理通过ISO9000质量体系认证，是国内高校首家通过“双认证”的大学。学校一系列关键技术支撑了“蛟龙号”“奋斗者号”“华龙一号”等国之重器，为国家经济社会发展和国防现代化建设做出了重要贡献。</w:t>
      </w:r>
    </w:p>
    <w:p>
      <w:pPr>
        <w:pStyle w:val="45"/>
        <w:keepNext w:val="0"/>
        <w:keepLines w:val="0"/>
        <w:spacing w:line="560" w:lineRule="exact"/>
        <w:rPr>
          <w:rFonts w:ascii="Times New Roman" w:hAnsi="Times New Roman" w:eastAsia="楷体_GB2312" w:cs="Times New Roman"/>
        </w:rPr>
      </w:pPr>
      <w:r>
        <w:rPr>
          <w:rFonts w:ascii="Times New Roman" w:hAnsi="Times New Roman" w:eastAsia="楷体_GB2312" w:cs="Times New Roman"/>
          <w:b w:val="0"/>
        </w:rPr>
        <w:t xml:space="preserve">   </w:t>
      </w:r>
      <w:bookmarkStart w:id="5" w:name="_Toc112076249"/>
      <w:bookmarkStart w:id="6" w:name="_Toc111538253"/>
      <w:r>
        <w:rPr>
          <w:rFonts w:ascii="Times New Roman" w:hAnsi="Times New Roman" w:eastAsia="楷体_GB2312" w:cs="Times New Roman"/>
        </w:rPr>
        <w:t>（二）学校继续教育总体规划与办学定位</w:t>
      </w:r>
      <w:bookmarkEnd w:id="5"/>
      <w:bookmarkEnd w:id="6"/>
    </w:p>
    <w:p>
      <w:pPr>
        <w:snapToGrid w:val="0"/>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rPr>
        <w:t>学校在《哈尔滨工程大学章程》内明确提出：“学校开展港澳台侨教育、国际学生教育、继续教育；提供终身教育服务和非学历教育；依法授予学士、硕士和博士学位。”学校将继续教育纳入整体发展规划，提出坚持“突出特色，服务社会，应用为主”，打造以工为主、工管结合、应用性强的继续教育体系，健全管理机制，优化专业设置，强化学校对区域经济发展所需应用型人才供给能力，全面提升学校继续教育水平和人才培养质量。</w:t>
      </w:r>
    </w:p>
    <w:p>
      <w:pPr>
        <w:pStyle w:val="45"/>
        <w:keepNext w:val="0"/>
        <w:keepLines w:val="0"/>
        <w:spacing w:line="560" w:lineRule="exact"/>
        <w:rPr>
          <w:rFonts w:ascii="Times New Roman" w:hAnsi="Times New Roman" w:eastAsia="楷体" w:cs="Times New Roman"/>
          <w:kern w:val="2"/>
        </w:rPr>
      </w:pPr>
      <w:r>
        <w:rPr>
          <w:rFonts w:ascii="Times New Roman" w:hAnsi="Times New Roman" w:eastAsia="楷体" w:cs="Times New Roman"/>
          <w:b w:val="0"/>
          <w:kern w:val="2"/>
        </w:rPr>
        <w:t xml:space="preserve">  </w:t>
      </w:r>
      <w:r>
        <w:rPr>
          <w:rFonts w:ascii="Times New Roman" w:hAnsi="Times New Roman" w:eastAsia="楷体_GB2312" w:cs="Times New Roman"/>
          <w:b w:val="0"/>
        </w:rPr>
        <w:t xml:space="preserve"> </w:t>
      </w:r>
      <w:bookmarkStart w:id="7" w:name="_Toc111538254"/>
      <w:bookmarkStart w:id="8" w:name="_Toc112076250"/>
      <w:r>
        <w:rPr>
          <w:rFonts w:ascii="Times New Roman" w:hAnsi="Times New Roman" w:eastAsia="楷体_GB2312" w:cs="Times New Roman"/>
        </w:rPr>
        <w:t>（三）学校继续教育办学管理体制与机制</w:t>
      </w:r>
      <w:bookmarkEnd w:id="7"/>
      <w:bookmarkEnd w:id="8"/>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始终将继续教育作为与本科生教育、研究生教育、国际合作教育并列的四项基本教育任务之一。实行管办分离管理形式，由学校相关职能部门对继续教育进行统筹管理，继续教育学院作为办学实体，专门从事高等学历继续教育与非学历教育工作，各专业学院以各自的教学科研力量为依托，开展与各自学科相关的非学历教育工作。</w:t>
      </w:r>
    </w:p>
    <w:p>
      <w:pPr>
        <w:pStyle w:val="3"/>
        <w:keepNext w:val="0"/>
        <w:keepLines w:val="0"/>
        <w:spacing w:before="0" w:after="0" w:line="560" w:lineRule="exact"/>
        <w:ind w:firstLine="640" w:firstLineChars="200"/>
        <w:rPr>
          <w:rFonts w:ascii="Times New Roman" w:hAnsi="Times New Roman" w:eastAsia="黑体" w:cs="Times New Roman"/>
          <w:b w:val="0"/>
        </w:rPr>
      </w:pPr>
      <w:bookmarkStart w:id="9" w:name="_Toc111538255"/>
      <w:bookmarkStart w:id="10" w:name="_Toc112076251"/>
      <w:r>
        <w:rPr>
          <w:rFonts w:ascii="Times New Roman" w:hAnsi="Times New Roman" w:eastAsia="黑体" w:cs="Times New Roman"/>
          <w:b w:val="0"/>
        </w:rPr>
        <w:t>二、专业设置</w:t>
      </w:r>
      <w:bookmarkEnd w:id="9"/>
      <w:bookmarkEnd w:id="10"/>
    </w:p>
    <w:p>
      <w:pPr>
        <w:pStyle w:val="45"/>
        <w:keepNext w:val="0"/>
        <w:keepLines w:val="0"/>
        <w:spacing w:line="560" w:lineRule="exact"/>
        <w:ind w:left="630"/>
        <w:rPr>
          <w:rFonts w:ascii="Times New Roman" w:hAnsi="Times New Roman" w:eastAsia="楷体_GB2312" w:cs="Times New Roman"/>
          <w:kern w:val="2"/>
        </w:rPr>
      </w:pPr>
      <w:bookmarkStart w:id="11" w:name="_Toc111538256"/>
      <w:bookmarkStart w:id="12" w:name="_Toc112076252"/>
      <w:r>
        <w:rPr>
          <w:rFonts w:ascii="Times New Roman" w:hAnsi="Times New Roman" w:eastAsia="楷体_GB2312" w:cs="Times New Roman"/>
          <w:kern w:val="2"/>
        </w:rPr>
        <w:t>（一）学历继续教育专业设置情况</w:t>
      </w:r>
      <w:bookmarkEnd w:id="11"/>
      <w:bookmarkEnd w:id="12"/>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围绕学校办学优势，2021年开设船舶与海洋工程、土木工程、建筑环境与能源应用工程、给排水科学与工程、轮机工程、电气工程及其自动化、机械设计制造及其自动化、工商管理、法学等9个本科层次学历继续教育专业，建筑工程技术、计算机应用技术、工商企业管理、经济管理等4个专科层次学历继续教育专业。初步形成工、管、文多学科协调发展的高等学历继续教育专业体系。</w:t>
      </w:r>
    </w:p>
    <w:p>
      <w:pPr>
        <w:pStyle w:val="45"/>
        <w:keepNext w:val="0"/>
        <w:keepLines w:val="0"/>
        <w:spacing w:line="560" w:lineRule="exact"/>
        <w:ind w:left="630"/>
        <w:rPr>
          <w:rFonts w:ascii="Times New Roman" w:hAnsi="Times New Roman" w:eastAsia="楷体_GB2312" w:cs="Times New Roman"/>
          <w:kern w:val="2"/>
        </w:rPr>
      </w:pPr>
      <w:bookmarkStart w:id="13" w:name="_Toc112076253"/>
      <w:bookmarkStart w:id="14" w:name="_Toc111538257"/>
      <w:r>
        <w:rPr>
          <w:rFonts w:ascii="Times New Roman" w:hAnsi="Times New Roman" w:eastAsia="楷体_GB2312" w:cs="Times New Roman"/>
          <w:kern w:val="2"/>
        </w:rPr>
        <w:t>（二）专业调整情况及思路进展</w:t>
      </w:r>
      <w:bookmarkEnd w:id="13"/>
      <w:bookmarkEnd w:id="14"/>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进一步服务区域经济发展需求，不断优化专业设置，促进高等学历继续教育专业规模与质量协调发展。根据近几年招生情况分析，停招社会需求量不足的轮机工程专升本专业，围绕山东半岛化工产业在职人员的学历提升需求，增加化学工程与工艺专业专升本专业。</w:t>
      </w:r>
    </w:p>
    <w:p>
      <w:pPr>
        <w:pStyle w:val="45"/>
        <w:keepNext w:val="0"/>
        <w:keepLines w:val="0"/>
        <w:spacing w:line="560" w:lineRule="exact"/>
        <w:ind w:left="630"/>
        <w:rPr>
          <w:rFonts w:ascii="Times New Roman" w:hAnsi="Times New Roman" w:eastAsia="楷体_GB2312" w:cs="Times New Roman"/>
          <w:kern w:val="2"/>
        </w:rPr>
      </w:pPr>
      <w:bookmarkStart w:id="15" w:name="_Toc111538258"/>
      <w:bookmarkStart w:id="16" w:name="_Toc112076254"/>
      <w:r>
        <w:rPr>
          <w:rFonts w:ascii="Times New Roman" w:hAnsi="Times New Roman" w:eastAsia="楷体_GB2312" w:cs="Times New Roman"/>
          <w:kern w:val="2"/>
        </w:rPr>
        <w:t>（三）专业人才培养方案制订及调整情况</w:t>
      </w:r>
      <w:bookmarkEnd w:id="15"/>
      <w:bookmarkEnd w:id="16"/>
    </w:p>
    <w:p>
      <w:pPr>
        <w:adjustRightInd w:val="0"/>
        <w:snapToGrid w:val="0"/>
        <w:spacing w:line="560" w:lineRule="exact"/>
        <w:ind w:firstLine="640" w:firstLineChars="200"/>
        <w:textAlignment w:val="center"/>
        <w:rPr>
          <w:rFonts w:ascii="Times New Roman" w:hAnsi="Times New Roman" w:eastAsia="仿宋_GB2312" w:cs="Times New Roman"/>
          <w:color w:val="FF0000"/>
          <w:kern w:val="0"/>
          <w:sz w:val="32"/>
          <w:szCs w:val="32"/>
        </w:rPr>
      </w:pPr>
      <w:r>
        <w:rPr>
          <w:rFonts w:ascii="Times New Roman" w:hAnsi="Times New Roman" w:eastAsia="仿宋_GB2312" w:cs="Times New Roman"/>
          <w:kern w:val="0"/>
          <w:sz w:val="32"/>
          <w:szCs w:val="32"/>
        </w:rPr>
        <w:t>根据教育部关于印发《新时代高校思想政治理论课教学工作基本要求》的通知精神，足额开设、开够思政课程，培养具有较高综合素养、适应职业发展需要、具有创新意识的应用型人才。围绕新设专业，遵循高等学历继续教育教学规律，制定化学工程与工艺专升本专业人才培养方案，依托优秀教师资源，坚持知识、能力、素质协调发展，理论学习与实践能力培养有机结合为重点，充分吸收教学改革和教学研究成果，对知识点进行调整及更新，不断完善高等学历继续教育人才培养方案。</w:t>
      </w:r>
    </w:p>
    <w:p>
      <w:pPr>
        <w:pStyle w:val="3"/>
        <w:keepNext w:val="0"/>
        <w:keepLines w:val="0"/>
        <w:spacing w:before="0" w:after="0" w:line="560" w:lineRule="exact"/>
        <w:ind w:firstLine="640" w:firstLineChars="200"/>
        <w:rPr>
          <w:rFonts w:ascii="Times New Roman" w:hAnsi="Times New Roman" w:eastAsia="黑体" w:cs="Times New Roman"/>
          <w:b w:val="0"/>
        </w:rPr>
      </w:pPr>
      <w:bookmarkStart w:id="17" w:name="_Toc111538259"/>
      <w:bookmarkStart w:id="18" w:name="_Toc112076255"/>
      <w:r>
        <w:rPr>
          <w:rFonts w:ascii="Times New Roman" w:hAnsi="Times New Roman" w:eastAsia="黑体" w:cs="Times New Roman"/>
          <w:b w:val="0"/>
        </w:rPr>
        <w:t>三、人才培养</w:t>
      </w:r>
      <w:bookmarkEnd w:id="17"/>
      <w:bookmarkEnd w:id="18"/>
    </w:p>
    <w:p>
      <w:pPr>
        <w:pStyle w:val="45"/>
        <w:keepNext w:val="0"/>
        <w:keepLines w:val="0"/>
        <w:spacing w:line="560" w:lineRule="exact"/>
        <w:ind w:firstLine="643" w:firstLineChars="200"/>
        <w:rPr>
          <w:rFonts w:ascii="Times New Roman" w:hAnsi="Times New Roman" w:eastAsia="楷体_GB2312" w:cs="Times New Roman"/>
          <w:color w:val="000000"/>
          <w:kern w:val="2"/>
        </w:rPr>
      </w:pPr>
      <w:bookmarkStart w:id="19" w:name="_Toc112076256"/>
      <w:bookmarkStart w:id="20" w:name="_Toc111538260"/>
      <w:r>
        <w:rPr>
          <w:rFonts w:ascii="Times New Roman" w:hAnsi="Times New Roman" w:eastAsia="楷体_GB2312" w:cs="Times New Roman"/>
          <w:color w:val="000000"/>
          <w:kern w:val="2"/>
        </w:rPr>
        <w:t>（一）学历继续教育情况</w:t>
      </w:r>
      <w:bookmarkEnd w:id="19"/>
      <w:bookmarkEnd w:id="20"/>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1.总体规模</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2021年高等学历继续教育在籍学生2932人，各专业各层次学生情况如表1所示：</w:t>
      </w:r>
    </w:p>
    <w:p>
      <w:pPr>
        <w:snapToGrid w:val="0"/>
        <w:spacing w:line="560" w:lineRule="exact"/>
        <w:jc w:val="center"/>
        <w:rPr>
          <w:rFonts w:ascii="Times New Roman" w:hAnsi="Times New Roman" w:eastAsia="楷体" w:cs="Times New Roman"/>
          <w:color w:val="000000"/>
          <w:kern w:val="0"/>
          <w:sz w:val="30"/>
          <w:szCs w:val="30"/>
        </w:rPr>
      </w:pPr>
      <w:r>
        <w:rPr>
          <w:rFonts w:ascii="Times New Roman" w:hAnsi="Times New Roman" w:eastAsia="楷体" w:cs="Times New Roman"/>
          <w:color w:val="000000"/>
          <w:kern w:val="0"/>
          <w:sz w:val="30"/>
          <w:szCs w:val="30"/>
          <w:lang w:bidi="ar"/>
        </w:rPr>
        <w:t>表1  2021年高等学历继续教育在籍学生情况表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60"/>
        <w:gridCol w:w="3260"/>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adjustRightInd w:val="0"/>
              <w:snapToGrid w:val="0"/>
              <w:spacing w:line="560" w:lineRule="exact"/>
              <w:jc w:val="center"/>
              <w:textAlignment w:val="center"/>
              <w:rPr>
                <w:rFonts w:ascii="Times New Roman" w:hAnsi="Times New Roman" w:eastAsia="仿宋_GB2312" w:cs="Times New Roman"/>
                <w:b/>
                <w:kern w:val="0"/>
              </w:rPr>
            </w:pPr>
            <w:r>
              <w:rPr>
                <w:rFonts w:ascii="Times New Roman" w:hAnsi="Times New Roman" w:eastAsia="仿宋_GB2312" w:cs="Times New Roman"/>
                <w:b/>
                <w:kern w:val="0"/>
              </w:rPr>
              <w:t>序号</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b/>
                <w:kern w:val="0"/>
              </w:rPr>
            </w:pPr>
            <w:r>
              <w:rPr>
                <w:rFonts w:ascii="Times New Roman" w:hAnsi="Times New Roman" w:eastAsia="仿宋_GB2312" w:cs="Times New Roman"/>
                <w:b/>
                <w:kern w:val="0"/>
              </w:rPr>
              <w:t>专业名称</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b/>
                <w:kern w:val="0"/>
              </w:rPr>
            </w:pPr>
            <w:r>
              <w:rPr>
                <w:rFonts w:ascii="Times New Roman" w:hAnsi="Times New Roman" w:eastAsia="仿宋_GB2312" w:cs="Times New Roman"/>
                <w:b/>
                <w:kern w:val="0"/>
              </w:rPr>
              <w:t>层次</w:t>
            </w:r>
          </w:p>
        </w:tc>
        <w:tc>
          <w:tcPr>
            <w:tcW w:w="1385" w:type="dxa"/>
            <w:vAlign w:val="center"/>
          </w:tcPr>
          <w:p>
            <w:pPr>
              <w:adjustRightInd w:val="0"/>
              <w:snapToGrid w:val="0"/>
              <w:spacing w:line="560" w:lineRule="exact"/>
              <w:jc w:val="center"/>
              <w:textAlignment w:val="center"/>
              <w:rPr>
                <w:rFonts w:ascii="Times New Roman" w:hAnsi="Times New Roman" w:eastAsia="仿宋_GB2312" w:cs="Times New Roman"/>
                <w:b/>
                <w:kern w:val="0"/>
              </w:rPr>
            </w:pPr>
            <w:r>
              <w:rPr>
                <w:rFonts w:ascii="Times New Roman" w:hAnsi="Times New Roman" w:eastAsia="仿宋_GB2312" w:cs="Times New Roman"/>
                <w:b/>
                <w:kern w:val="0"/>
              </w:rPr>
              <w:t>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船舶与海洋工程</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w:t>
            </w:r>
          </w:p>
        </w:tc>
        <w:tc>
          <w:tcPr>
            <w:tcW w:w="1385"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土木工程</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专升本（其中高起本102）</w:t>
            </w:r>
          </w:p>
        </w:tc>
        <w:tc>
          <w:tcPr>
            <w:tcW w:w="1385"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1542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给排水科学与工程</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w:t>
            </w:r>
          </w:p>
        </w:tc>
        <w:tc>
          <w:tcPr>
            <w:tcW w:w="1385"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建筑环境与能源应用工程</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w:t>
            </w:r>
          </w:p>
        </w:tc>
        <w:tc>
          <w:tcPr>
            <w:tcW w:w="1385"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轮机工程</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w:t>
            </w:r>
          </w:p>
        </w:tc>
        <w:tc>
          <w:tcPr>
            <w:tcW w:w="1385"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6</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sz w:val="22"/>
              </w:rPr>
            </w:pPr>
            <w:r>
              <w:rPr>
                <w:rFonts w:ascii="Times New Roman" w:hAnsi="Times New Roman" w:eastAsia="仿宋_GB2312" w:cs="Times New Roman"/>
                <w:kern w:val="0"/>
                <w:sz w:val="22"/>
              </w:rPr>
              <w:t>电气工程及其自动化</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w:t>
            </w:r>
          </w:p>
        </w:tc>
        <w:tc>
          <w:tcPr>
            <w:tcW w:w="1385"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7</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sz w:val="22"/>
              </w:rPr>
            </w:pPr>
            <w:r>
              <w:rPr>
                <w:rFonts w:ascii="Times New Roman" w:hAnsi="Times New Roman" w:eastAsia="仿宋_GB2312" w:cs="Times New Roman"/>
                <w:kern w:val="0"/>
                <w:sz w:val="22"/>
              </w:rPr>
              <w:t>机械设计制造及其自动化</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w:t>
            </w:r>
          </w:p>
        </w:tc>
        <w:tc>
          <w:tcPr>
            <w:tcW w:w="1385"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8</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工商管理</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专升本（其中高起本38）</w:t>
            </w:r>
          </w:p>
        </w:tc>
        <w:tc>
          <w:tcPr>
            <w:tcW w:w="1385"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9</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法学</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w:t>
            </w:r>
          </w:p>
        </w:tc>
        <w:tc>
          <w:tcPr>
            <w:tcW w:w="1385"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10</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建筑工程技术</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高起专</w:t>
            </w:r>
          </w:p>
        </w:tc>
        <w:tc>
          <w:tcPr>
            <w:tcW w:w="1385"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11</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计算机应用技术</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高起专</w:t>
            </w:r>
          </w:p>
        </w:tc>
        <w:tc>
          <w:tcPr>
            <w:tcW w:w="1385"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12</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工商企业管理</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高起专</w:t>
            </w:r>
          </w:p>
        </w:tc>
        <w:tc>
          <w:tcPr>
            <w:tcW w:w="1385"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13</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经济管理</w:t>
            </w:r>
          </w:p>
        </w:tc>
        <w:tc>
          <w:tcPr>
            <w:tcW w:w="3260"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高起专</w:t>
            </w:r>
          </w:p>
        </w:tc>
        <w:tc>
          <w:tcPr>
            <w:tcW w:w="1385"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4" w:type="dxa"/>
            <w:gridSpan w:val="4"/>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color w:val="000000"/>
                <w:lang w:bidi="ar"/>
              </w:rPr>
              <w:t>总计：2932</w:t>
            </w:r>
          </w:p>
        </w:tc>
      </w:tr>
    </w:tbl>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2.招生情况</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2021年高等学历继续教育新生注册学籍1472人。按照生源地划分注册学籍学生情况如图1所示： </w:t>
      </w:r>
    </w:p>
    <w:p>
      <w:pPr>
        <w:snapToGrid w:val="0"/>
        <w:spacing w:line="560" w:lineRule="exact"/>
        <w:jc w:val="center"/>
        <w:rPr>
          <w:rFonts w:ascii="Times New Roman" w:hAnsi="Times New Roman" w:eastAsia="楷体" w:cs="Times New Roman"/>
          <w:color w:val="000000"/>
          <w:kern w:val="0"/>
          <w:sz w:val="30"/>
          <w:szCs w:val="30"/>
        </w:rPr>
      </w:pPr>
      <w:r>
        <w:rPr>
          <w:rFonts w:ascii="Times New Roman" w:hAnsi="Times New Roman" w:eastAsia="楷体" w:cs="Times New Roman"/>
          <w:color w:val="000000"/>
          <w:kern w:val="0"/>
          <w:sz w:val="30"/>
          <w:szCs w:val="30"/>
          <w:lang w:bidi="ar"/>
        </w:rPr>
        <w:t xml:space="preserve"> </w:t>
      </w:r>
      <w:r>
        <w:rPr>
          <w:rFonts w:ascii="Times New Roman" w:hAnsi="Times New Roman" w:eastAsia="仿宋_GB2312" w:cs="Times New Roman"/>
          <w:color w:val="000000"/>
          <w:kern w:val="0"/>
          <w:sz w:val="32"/>
          <w:szCs w:val="32"/>
          <w:lang w:bidi="ar"/>
        </w:rPr>
        <w:t xml:space="preserve"> </w:t>
      </w:r>
      <w:r>
        <w:rPr>
          <w:rFonts w:ascii="Times New Roman" w:hAnsi="Times New Roman" w:eastAsia="楷体" w:cs="Times New Roman"/>
          <w:color w:val="000000"/>
          <w:kern w:val="0"/>
          <w:sz w:val="30"/>
          <w:szCs w:val="30"/>
          <w:lang w:bidi="ar"/>
        </w:rPr>
        <w:t>图1  2021年高等学历继续教育学生分省注册学籍情况</w:t>
      </w:r>
    </w:p>
    <w:p>
      <w:pPr>
        <w:kinsoku w:val="0"/>
        <w:autoSpaceDE w:val="0"/>
        <w:autoSpaceDN w:val="0"/>
        <w:snapToGrid w:val="0"/>
        <w:spacing w:line="560" w:lineRule="exact"/>
        <w:rPr>
          <w:rFonts w:ascii="Times New Roman" w:hAnsi="Times New Roman" w:eastAsia="楷体" w:cs="Times New Roman"/>
          <w:color w:val="000000"/>
          <w:kern w:val="0"/>
          <w:sz w:val="30"/>
          <w:szCs w:val="30"/>
        </w:rPr>
      </w:pPr>
      <w:r>
        <w:rPr>
          <w:rFonts w:ascii="Times New Roman" w:hAnsi="Times New Roman" w:eastAsia="楷体" w:cs="Times New Roman"/>
          <w:color w:val="000000"/>
          <w:kern w:val="0"/>
          <w:sz w:val="30"/>
          <w:szCs w:val="30"/>
        </w:rPr>
        <w:drawing>
          <wp:anchor distT="0" distB="0" distL="114300" distR="114300" simplePos="0" relativeHeight="251659264" behindDoc="1" locked="0" layoutInCell="1" allowOverlap="1">
            <wp:simplePos x="0" y="0"/>
            <wp:positionH relativeFrom="column">
              <wp:posOffset>534035</wp:posOffset>
            </wp:positionH>
            <wp:positionV relativeFrom="paragraph">
              <wp:posOffset>82550</wp:posOffset>
            </wp:positionV>
            <wp:extent cx="4991100" cy="2332990"/>
            <wp:effectExtent l="0" t="0" r="0" b="0"/>
            <wp:wrapTight wrapText="bothSides">
              <wp:wrapPolygon>
                <wp:start x="0" y="0"/>
                <wp:lineTo x="0" y="21341"/>
                <wp:lineTo x="21518" y="21341"/>
                <wp:lineTo x="21518"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4991100" cy="2332990"/>
                    </a:xfrm>
                    <a:prstGeom prst="rect">
                      <a:avLst/>
                    </a:prstGeom>
                  </pic:spPr>
                </pic:pic>
              </a:graphicData>
            </a:graphic>
          </wp:anchor>
        </w:drawing>
      </w:r>
    </w:p>
    <w:p>
      <w:pPr>
        <w:spacing w:line="560" w:lineRule="exact"/>
        <w:ind w:firstLine="480" w:firstLineChars="200"/>
        <w:rPr>
          <w:rFonts w:ascii="Times New Roman" w:hAnsi="Times New Roman" w:cs="Times New Roman"/>
          <w:color w:val="000000"/>
        </w:rPr>
      </w:pPr>
    </w:p>
    <w:p>
      <w:pPr>
        <w:spacing w:line="560" w:lineRule="exact"/>
        <w:ind w:firstLine="480" w:firstLineChars="200"/>
        <w:rPr>
          <w:rFonts w:ascii="Times New Roman" w:hAnsi="Times New Roman" w:cs="Times New Roman"/>
          <w:color w:val="000000"/>
        </w:rPr>
      </w:pPr>
    </w:p>
    <w:p>
      <w:pPr>
        <w:spacing w:line="560" w:lineRule="exact"/>
        <w:ind w:firstLine="480" w:firstLineChars="200"/>
        <w:rPr>
          <w:rFonts w:ascii="Times New Roman" w:hAnsi="Times New Roman" w:cs="Times New Roman"/>
          <w:color w:val="000000"/>
        </w:rPr>
      </w:pPr>
    </w:p>
    <w:p>
      <w:pPr>
        <w:spacing w:line="560" w:lineRule="exact"/>
        <w:ind w:firstLine="480" w:firstLineChars="200"/>
        <w:rPr>
          <w:rFonts w:ascii="Times New Roman" w:hAnsi="Times New Roman" w:cs="Times New Roman"/>
          <w:color w:val="000000"/>
        </w:rPr>
      </w:pPr>
    </w:p>
    <w:p>
      <w:pPr>
        <w:spacing w:line="560" w:lineRule="exact"/>
        <w:ind w:firstLine="480" w:firstLineChars="200"/>
        <w:rPr>
          <w:rFonts w:ascii="Times New Roman" w:hAnsi="Times New Roman" w:cs="Times New Roman"/>
          <w:color w:val="000000"/>
        </w:rPr>
      </w:pPr>
    </w:p>
    <w:p>
      <w:pPr>
        <w:spacing w:line="560" w:lineRule="exact"/>
        <w:ind w:firstLine="600" w:firstLineChars="200"/>
        <w:rPr>
          <w:rFonts w:ascii="Times New Roman" w:hAnsi="Times New Roman" w:eastAsia="楷体" w:cs="Times New Roman"/>
          <w:color w:val="000000"/>
          <w:kern w:val="0"/>
          <w:sz w:val="30"/>
          <w:szCs w:val="30"/>
        </w:rPr>
      </w:pP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3.毕业情况</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2021届高等学历继续教育毕业生人数共计739人，其中专科生人数1人，本科生人数738人，各专业各层次毕业学生情况如表2所示：</w:t>
      </w:r>
    </w:p>
    <w:p>
      <w:pPr>
        <w:snapToGrid w:val="0"/>
        <w:spacing w:line="560" w:lineRule="exact"/>
        <w:jc w:val="center"/>
        <w:rPr>
          <w:rFonts w:ascii="Times New Roman" w:hAnsi="Times New Roman" w:eastAsia="楷体" w:cs="Times New Roman"/>
          <w:color w:val="000000"/>
          <w:kern w:val="0"/>
          <w:sz w:val="30"/>
          <w:szCs w:val="30"/>
        </w:rPr>
      </w:pPr>
      <w:r>
        <w:rPr>
          <w:rFonts w:ascii="Times New Roman" w:hAnsi="Times New Roman" w:eastAsia="楷体" w:cs="Times New Roman"/>
          <w:color w:val="000000"/>
          <w:kern w:val="0"/>
          <w:sz w:val="30"/>
          <w:szCs w:val="30"/>
          <w:lang w:bidi="ar"/>
        </w:rPr>
        <w:t>表2  2021届高等学历继续教育毕业学生情况表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3036"/>
        <w:gridCol w:w="30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6" w:type="dxa"/>
            <w:vAlign w:val="center"/>
          </w:tcPr>
          <w:p>
            <w:pPr>
              <w:adjustRightInd w:val="0"/>
              <w:snapToGrid w:val="0"/>
              <w:spacing w:line="560" w:lineRule="exact"/>
              <w:jc w:val="center"/>
              <w:textAlignment w:val="center"/>
              <w:rPr>
                <w:rFonts w:ascii="Times New Roman" w:hAnsi="Times New Roman" w:eastAsia="仿宋_GB2312" w:cs="Times New Roman"/>
                <w:b/>
                <w:kern w:val="0"/>
              </w:rPr>
            </w:pPr>
            <w:bookmarkStart w:id="21" w:name="_Toc111538261"/>
            <w:r>
              <w:rPr>
                <w:rFonts w:ascii="Times New Roman" w:hAnsi="Times New Roman" w:eastAsia="仿宋_GB2312" w:cs="Times New Roman"/>
                <w:b/>
                <w:kern w:val="0"/>
              </w:rPr>
              <w:t>序号</w:t>
            </w:r>
          </w:p>
        </w:tc>
        <w:tc>
          <w:tcPr>
            <w:tcW w:w="3036" w:type="dxa"/>
            <w:vAlign w:val="center"/>
          </w:tcPr>
          <w:p>
            <w:pPr>
              <w:adjustRightInd w:val="0"/>
              <w:snapToGrid w:val="0"/>
              <w:spacing w:line="560" w:lineRule="exact"/>
              <w:jc w:val="center"/>
              <w:textAlignment w:val="center"/>
              <w:rPr>
                <w:rFonts w:ascii="Times New Roman" w:hAnsi="Times New Roman" w:eastAsia="仿宋_GB2312" w:cs="Times New Roman"/>
                <w:b/>
                <w:kern w:val="0"/>
              </w:rPr>
            </w:pPr>
            <w:r>
              <w:rPr>
                <w:rFonts w:ascii="Times New Roman" w:hAnsi="Times New Roman" w:eastAsia="仿宋_GB2312" w:cs="Times New Roman"/>
                <w:b/>
                <w:kern w:val="0"/>
              </w:rPr>
              <w:t>专业名称</w:t>
            </w:r>
          </w:p>
        </w:tc>
        <w:tc>
          <w:tcPr>
            <w:tcW w:w="3096" w:type="dxa"/>
            <w:vAlign w:val="center"/>
          </w:tcPr>
          <w:p>
            <w:pPr>
              <w:adjustRightInd w:val="0"/>
              <w:snapToGrid w:val="0"/>
              <w:spacing w:line="560" w:lineRule="exact"/>
              <w:jc w:val="center"/>
              <w:textAlignment w:val="center"/>
              <w:rPr>
                <w:rFonts w:ascii="Times New Roman" w:hAnsi="Times New Roman" w:eastAsia="仿宋_GB2312" w:cs="Times New Roman"/>
                <w:b/>
                <w:kern w:val="0"/>
              </w:rPr>
            </w:pPr>
            <w:r>
              <w:rPr>
                <w:rFonts w:ascii="Times New Roman" w:hAnsi="Times New Roman" w:eastAsia="仿宋_GB2312" w:cs="Times New Roman"/>
                <w:b/>
                <w:kern w:val="0"/>
              </w:rPr>
              <w:t>层次</w:t>
            </w:r>
          </w:p>
        </w:tc>
        <w:tc>
          <w:tcPr>
            <w:tcW w:w="1596" w:type="dxa"/>
            <w:vAlign w:val="center"/>
          </w:tcPr>
          <w:p>
            <w:pPr>
              <w:adjustRightInd w:val="0"/>
              <w:snapToGrid w:val="0"/>
              <w:spacing w:line="560" w:lineRule="exact"/>
              <w:jc w:val="center"/>
              <w:textAlignment w:val="center"/>
              <w:rPr>
                <w:rFonts w:ascii="Times New Roman" w:hAnsi="Times New Roman" w:eastAsia="仿宋_GB2312" w:cs="Times New Roman"/>
                <w:b/>
                <w:kern w:val="0"/>
              </w:rPr>
            </w:pPr>
            <w:r>
              <w:rPr>
                <w:rFonts w:ascii="Times New Roman" w:hAnsi="Times New Roman" w:eastAsia="仿宋_GB2312" w:cs="Times New Roman"/>
                <w:b/>
                <w:kern w:val="0"/>
              </w:rPr>
              <w:t>毕业学生数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303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船舶与海洋工程</w:t>
            </w:r>
          </w:p>
        </w:tc>
        <w:tc>
          <w:tcPr>
            <w:tcW w:w="30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w:t>
            </w:r>
          </w:p>
        </w:tc>
        <w:tc>
          <w:tcPr>
            <w:tcW w:w="15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303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土木工程</w:t>
            </w:r>
          </w:p>
        </w:tc>
        <w:tc>
          <w:tcPr>
            <w:tcW w:w="30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专升本（其中高起本16）</w:t>
            </w:r>
          </w:p>
        </w:tc>
        <w:tc>
          <w:tcPr>
            <w:tcW w:w="15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color w:val="000000"/>
                <w:kern w:val="0"/>
                <w:lang w:bidi="ar"/>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303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给排水科学与工程</w:t>
            </w:r>
          </w:p>
        </w:tc>
        <w:tc>
          <w:tcPr>
            <w:tcW w:w="30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w:t>
            </w:r>
          </w:p>
        </w:tc>
        <w:tc>
          <w:tcPr>
            <w:tcW w:w="15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color w:val="000000"/>
                <w:kern w:val="0"/>
                <w:lang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303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建筑环境与能源应用工程</w:t>
            </w:r>
          </w:p>
        </w:tc>
        <w:tc>
          <w:tcPr>
            <w:tcW w:w="30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w:t>
            </w:r>
          </w:p>
        </w:tc>
        <w:tc>
          <w:tcPr>
            <w:tcW w:w="15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color w:val="000000"/>
                <w:kern w:val="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303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轮机工程</w:t>
            </w:r>
          </w:p>
        </w:tc>
        <w:tc>
          <w:tcPr>
            <w:tcW w:w="30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w:t>
            </w:r>
          </w:p>
        </w:tc>
        <w:tc>
          <w:tcPr>
            <w:tcW w:w="15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color w:val="000000"/>
                <w:kern w:val="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6</w:t>
            </w:r>
          </w:p>
        </w:tc>
        <w:tc>
          <w:tcPr>
            <w:tcW w:w="303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能源与动力工程</w:t>
            </w:r>
          </w:p>
        </w:tc>
        <w:tc>
          <w:tcPr>
            <w:tcW w:w="30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w:t>
            </w:r>
          </w:p>
        </w:tc>
        <w:tc>
          <w:tcPr>
            <w:tcW w:w="15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7</w:t>
            </w:r>
          </w:p>
        </w:tc>
        <w:tc>
          <w:tcPr>
            <w:tcW w:w="3036" w:type="dxa"/>
            <w:vAlign w:val="center"/>
          </w:tcPr>
          <w:p>
            <w:pPr>
              <w:adjustRightInd w:val="0"/>
              <w:snapToGrid w:val="0"/>
              <w:spacing w:line="560" w:lineRule="exact"/>
              <w:jc w:val="center"/>
              <w:textAlignment w:val="center"/>
              <w:rPr>
                <w:rFonts w:ascii="Times New Roman" w:hAnsi="Times New Roman" w:eastAsia="仿宋_GB2312" w:cs="Times New Roman"/>
                <w:kern w:val="0"/>
                <w:sz w:val="22"/>
              </w:rPr>
            </w:pPr>
            <w:r>
              <w:rPr>
                <w:rFonts w:ascii="Times New Roman" w:hAnsi="Times New Roman" w:eastAsia="仿宋_GB2312" w:cs="Times New Roman"/>
                <w:kern w:val="0"/>
                <w:sz w:val="22"/>
              </w:rPr>
              <w:t>电气工程及其自动化</w:t>
            </w:r>
          </w:p>
        </w:tc>
        <w:tc>
          <w:tcPr>
            <w:tcW w:w="30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w:t>
            </w:r>
          </w:p>
        </w:tc>
        <w:tc>
          <w:tcPr>
            <w:tcW w:w="15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color w:val="000000"/>
                <w:kern w:val="0"/>
                <w:lang w:bidi="ar"/>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87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8</w:t>
            </w:r>
          </w:p>
        </w:tc>
        <w:tc>
          <w:tcPr>
            <w:tcW w:w="3036" w:type="dxa"/>
            <w:vAlign w:val="center"/>
          </w:tcPr>
          <w:p>
            <w:pPr>
              <w:adjustRightInd w:val="0"/>
              <w:snapToGrid w:val="0"/>
              <w:spacing w:line="560" w:lineRule="exact"/>
              <w:jc w:val="center"/>
              <w:textAlignment w:val="center"/>
              <w:rPr>
                <w:rFonts w:ascii="Times New Roman" w:hAnsi="Times New Roman" w:eastAsia="仿宋_GB2312" w:cs="Times New Roman"/>
                <w:kern w:val="0"/>
                <w:sz w:val="22"/>
              </w:rPr>
            </w:pPr>
            <w:r>
              <w:rPr>
                <w:rFonts w:ascii="Times New Roman" w:hAnsi="Times New Roman" w:eastAsia="仿宋_GB2312" w:cs="Times New Roman"/>
                <w:kern w:val="0"/>
                <w:sz w:val="22"/>
              </w:rPr>
              <w:t>机械设计制造及其自动化</w:t>
            </w:r>
          </w:p>
        </w:tc>
        <w:tc>
          <w:tcPr>
            <w:tcW w:w="30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w:t>
            </w:r>
          </w:p>
        </w:tc>
        <w:tc>
          <w:tcPr>
            <w:tcW w:w="15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color w:val="000000"/>
                <w:kern w:val="0"/>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9</w:t>
            </w:r>
          </w:p>
        </w:tc>
        <w:tc>
          <w:tcPr>
            <w:tcW w:w="303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工商管理</w:t>
            </w:r>
          </w:p>
        </w:tc>
        <w:tc>
          <w:tcPr>
            <w:tcW w:w="30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专升本（其中高起本3）</w:t>
            </w:r>
          </w:p>
        </w:tc>
        <w:tc>
          <w:tcPr>
            <w:tcW w:w="15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color w:val="000000"/>
                <w:kern w:val="0"/>
                <w:lang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10</w:t>
            </w:r>
          </w:p>
        </w:tc>
        <w:tc>
          <w:tcPr>
            <w:tcW w:w="303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法学</w:t>
            </w:r>
          </w:p>
        </w:tc>
        <w:tc>
          <w:tcPr>
            <w:tcW w:w="30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专升本</w:t>
            </w:r>
          </w:p>
        </w:tc>
        <w:tc>
          <w:tcPr>
            <w:tcW w:w="15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color w:val="000000"/>
                <w:kern w:val="0"/>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11</w:t>
            </w:r>
          </w:p>
        </w:tc>
        <w:tc>
          <w:tcPr>
            <w:tcW w:w="303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工商企业管理</w:t>
            </w:r>
          </w:p>
        </w:tc>
        <w:tc>
          <w:tcPr>
            <w:tcW w:w="30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高起专</w:t>
            </w:r>
          </w:p>
        </w:tc>
        <w:tc>
          <w:tcPr>
            <w:tcW w:w="1596" w:type="dxa"/>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color w:val="000000"/>
                <w:kern w:val="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4" w:type="dxa"/>
            <w:gridSpan w:val="4"/>
            <w:vAlign w:val="center"/>
          </w:tcPr>
          <w:p>
            <w:pPr>
              <w:adjustRightInd w:val="0"/>
              <w:snapToGrid w:val="0"/>
              <w:spacing w:line="56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color w:val="000000"/>
                <w:lang w:bidi="ar"/>
              </w:rPr>
              <w:t>总计：739</w:t>
            </w:r>
          </w:p>
        </w:tc>
      </w:tr>
    </w:tbl>
    <w:p>
      <w:pPr>
        <w:pStyle w:val="45"/>
        <w:keepNext w:val="0"/>
        <w:keepLines w:val="0"/>
        <w:spacing w:line="560" w:lineRule="exact"/>
        <w:ind w:firstLine="643" w:firstLineChars="200"/>
        <w:rPr>
          <w:rFonts w:ascii="Times New Roman" w:hAnsi="Times New Roman" w:eastAsia="楷体_GB2312" w:cs="Times New Roman"/>
          <w:color w:val="000000"/>
          <w:kern w:val="2"/>
        </w:rPr>
      </w:pPr>
      <w:bookmarkStart w:id="22" w:name="_Toc112076257"/>
      <w:r>
        <w:rPr>
          <w:rFonts w:ascii="Times New Roman" w:hAnsi="Times New Roman" w:eastAsia="楷体_GB2312" w:cs="Times New Roman"/>
          <w:color w:val="000000"/>
          <w:kern w:val="2"/>
        </w:rPr>
        <w:t>（二）非学历教育情况</w:t>
      </w:r>
      <w:bookmarkEnd w:id="21"/>
      <w:bookmarkEnd w:id="22"/>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以服务国家需求和区域经济社会发展为己任，发挥学科、师资和教学科研优势，围绕行业和区域经济发展的实际需要，开展有针对性的非学历教育工作。通过以课堂集中教学、专题讲座、实验实训、现场教学、互动研讨等多种方式进行非学历教育工作。</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1.面向行业企业需求，提升服务能力</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针对行业企业在发展过程中的实际问题，结合学校“三海一核”办学特色，开展知识更新、技术提升等方面的培训工作。面向船舶数字化和智能化的发展趋势，积极将学校优势科研成果转化为培训资源，依托中国造船工程学会举办智慧海洋与智能海洋装备高级研修班。围绕船舶制造和装备保障企业技术人员能力提升需求，举办大连船舶重工集团有限公司专项培训班、青岛4308机械厂企业技术人员技能提升培训班、渤海船舶重工有限公司见习操纵员模拟器培训班等各类培训班。</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2.面向社会就业需求，开展就业技能培训</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面向黑龙江、山东等地方培训市场需求，研发就业技能培训，发挥学校服务社会职能，助力培训对象提升就业能力、提高从业能力。针对企业用工需求，以青岛双星合作项目为蓝本，推广订单式人才培养项目。面向数字经济产业发展需求，举办虚拟化技术、软件工程、互联网金融等专业岗位技能培训班。</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3.面向党政管理队伍能力提升需求，开展个性化定制服务</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依托学校人文社会科学、管理科学与工程的优质教育资源和师资力量，为党政机关、企事业单位的管理人员能力提升提供服务。基于哈尔滨市基层党组织党建工作需求，开展系列党史学习教育专题培训。先后开展渤海造船厂集团有限公司中层干部管理能力提升培训班、上海沪东中华进修学院“师资能力提升”培训班、《压力与情绪管理》盛和伟业集团EDP培训班等各类管理人员队伍能力提升培训活动。</w:t>
      </w:r>
      <w:bookmarkStart w:id="23" w:name="_Hlk106179474"/>
    </w:p>
    <w:p>
      <w:pPr>
        <w:adjustRightInd w:val="0"/>
        <w:snapToGrid w:val="0"/>
        <w:spacing w:line="560" w:lineRule="exact"/>
        <w:jc w:val="center"/>
        <w:textAlignment w:val="center"/>
        <w:rPr>
          <w:rFonts w:ascii="Times New Roman" w:hAnsi="Times New Roman" w:eastAsia="仿宋_GB2312" w:cs="Times New Roman"/>
          <w:kern w:val="0"/>
          <w:sz w:val="32"/>
          <w:szCs w:val="32"/>
        </w:rPr>
      </w:pPr>
      <w:r>
        <w:rPr>
          <w:rFonts w:ascii="Times New Roman" w:hAnsi="Times New Roman" w:eastAsia="楷体" w:cs="Times New Roman"/>
          <w:color w:val="000000"/>
          <w:kern w:val="0"/>
          <w:sz w:val="30"/>
          <w:szCs w:val="30"/>
          <w:lang w:bidi="ar"/>
        </w:rPr>
        <w:t>表3  非学历教育项目统计表</w:t>
      </w:r>
    </w:p>
    <w:tbl>
      <w:tblPr>
        <w:tblStyle w:val="23"/>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718"/>
        <w:gridCol w:w="5572"/>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4" w:type="dxa"/>
            <w:vAlign w:val="center"/>
          </w:tcPr>
          <w:p>
            <w:pPr>
              <w:jc w:val="center"/>
              <w:rPr>
                <w:rFonts w:ascii="Times New Roman" w:hAnsi="Times New Roman" w:eastAsia="仿宋_GB2312" w:cs="Times New Roman"/>
                <w:b/>
              </w:rPr>
            </w:pPr>
            <w:r>
              <w:rPr>
                <w:rFonts w:ascii="Times New Roman" w:hAnsi="Times New Roman" w:eastAsia="仿宋_GB2312" w:cs="Times New Roman"/>
                <w:b/>
              </w:rPr>
              <w:t>序号</w:t>
            </w:r>
          </w:p>
        </w:tc>
        <w:tc>
          <w:tcPr>
            <w:tcW w:w="1718" w:type="dxa"/>
            <w:vAlign w:val="center"/>
          </w:tcPr>
          <w:p>
            <w:pPr>
              <w:jc w:val="center"/>
              <w:rPr>
                <w:rFonts w:ascii="Times New Roman" w:hAnsi="Times New Roman" w:eastAsia="仿宋_GB2312" w:cs="Times New Roman"/>
                <w:b/>
              </w:rPr>
            </w:pPr>
            <w:r>
              <w:rPr>
                <w:rFonts w:ascii="Times New Roman" w:hAnsi="Times New Roman" w:eastAsia="仿宋_GB2312" w:cs="Times New Roman"/>
                <w:b/>
              </w:rPr>
              <w:t>培训类型</w:t>
            </w:r>
          </w:p>
        </w:tc>
        <w:tc>
          <w:tcPr>
            <w:tcW w:w="5572" w:type="dxa"/>
            <w:vAlign w:val="center"/>
          </w:tcPr>
          <w:p>
            <w:pPr>
              <w:jc w:val="center"/>
              <w:rPr>
                <w:rFonts w:ascii="Times New Roman" w:hAnsi="Times New Roman" w:eastAsia="仿宋_GB2312" w:cs="Times New Roman"/>
                <w:b/>
              </w:rPr>
            </w:pPr>
            <w:r>
              <w:rPr>
                <w:rFonts w:ascii="Times New Roman" w:hAnsi="Times New Roman" w:eastAsia="仿宋_GB2312" w:cs="Times New Roman"/>
                <w:b/>
              </w:rPr>
              <w:t>培训项目名称</w:t>
            </w:r>
          </w:p>
        </w:tc>
        <w:tc>
          <w:tcPr>
            <w:tcW w:w="923" w:type="dxa"/>
            <w:vAlign w:val="center"/>
          </w:tcPr>
          <w:p>
            <w:pPr>
              <w:jc w:val="center"/>
              <w:rPr>
                <w:rFonts w:ascii="Times New Roman" w:hAnsi="Times New Roman" w:eastAsia="仿宋_GB2312" w:cs="Times New Roman"/>
                <w:b/>
              </w:rPr>
            </w:pPr>
            <w:r>
              <w:rPr>
                <w:rFonts w:ascii="Times New Roman" w:hAnsi="Times New Roman" w:eastAsia="仿宋_GB2312" w:cs="Times New Roman"/>
                <w:b/>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4" w:type="dxa"/>
            <w:vAlign w:val="center"/>
          </w:tcPr>
          <w:p>
            <w:pPr>
              <w:jc w:val="center"/>
              <w:rPr>
                <w:rFonts w:ascii="Times New Roman" w:hAnsi="Times New Roman" w:eastAsia="仿宋_GB2312" w:cs="Times New Roman"/>
              </w:rPr>
            </w:pPr>
            <w:r>
              <w:rPr>
                <w:rFonts w:ascii="Times New Roman" w:hAnsi="Times New Roman" w:eastAsia="仿宋_GB2312" w:cs="Times New Roman"/>
              </w:rPr>
              <w:t>1</w:t>
            </w:r>
          </w:p>
        </w:tc>
        <w:tc>
          <w:tcPr>
            <w:tcW w:w="1718" w:type="dxa"/>
            <w:vMerge w:val="restart"/>
            <w:vAlign w:val="center"/>
          </w:tcPr>
          <w:p>
            <w:pPr>
              <w:jc w:val="center"/>
              <w:rPr>
                <w:rFonts w:ascii="Times New Roman" w:hAnsi="Times New Roman" w:eastAsia="仿宋_GB2312" w:cs="Times New Roman"/>
              </w:rPr>
            </w:pPr>
            <w:r>
              <w:rPr>
                <w:rFonts w:ascii="Times New Roman" w:hAnsi="Times New Roman" w:eastAsia="仿宋_GB2312" w:cs="Times New Roman"/>
              </w:rPr>
              <w:t>企事业单位</w:t>
            </w:r>
          </w:p>
          <w:p>
            <w:pPr>
              <w:jc w:val="center"/>
              <w:rPr>
                <w:rFonts w:ascii="Times New Roman" w:hAnsi="Times New Roman" w:eastAsia="仿宋_GB2312" w:cs="Times New Roman"/>
              </w:rPr>
            </w:pPr>
            <w:r>
              <w:rPr>
                <w:rFonts w:ascii="Times New Roman" w:hAnsi="Times New Roman" w:eastAsia="仿宋_GB2312" w:cs="Times New Roman"/>
              </w:rPr>
              <w:t>委托培训</w:t>
            </w:r>
          </w:p>
        </w:tc>
        <w:tc>
          <w:tcPr>
            <w:tcW w:w="5572" w:type="dxa"/>
            <w:vAlign w:val="center"/>
          </w:tcPr>
          <w:p>
            <w:pPr>
              <w:jc w:val="center"/>
              <w:rPr>
                <w:rFonts w:ascii="Times New Roman" w:hAnsi="Times New Roman" w:eastAsia="仿宋_GB2312" w:cs="Times New Roman"/>
              </w:rPr>
            </w:pPr>
            <w:r>
              <w:rPr>
                <w:rFonts w:ascii="Times New Roman" w:hAnsi="Times New Roman" w:eastAsia="仿宋_GB2312" w:cs="Times New Roman"/>
              </w:rPr>
              <w:t>青岛4308机械厂企业技术人员技能提升培训班</w:t>
            </w:r>
          </w:p>
        </w:tc>
        <w:tc>
          <w:tcPr>
            <w:tcW w:w="923" w:type="dxa"/>
            <w:vAlign w:val="center"/>
          </w:tcPr>
          <w:p>
            <w:pPr>
              <w:jc w:val="center"/>
              <w:rPr>
                <w:rFonts w:ascii="Times New Roman" w:hAnsi="Times New Roman" w:eastAsia="仿宋_GB2312" w:cs="Times New Roman"/>
              </w:rPr>
            </w:pPr>
            <w:r>
              <w:rPr>
                <w:rFonts w:ascii="Times New Roman" w:hAnsi="Times New Roman" w:eastAsia="仿宋_GB2312"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4" w:type="dxa"/>
            <w:vAlign w:val="center"/>
          </w:tcPr>
          <w:p>
            <w:pPr>
              <w:jc w:val="center"/>
              <w:rPr>
                <w:rFonts w:ascii="Times New Roman" w:hAnsi="Times New Roman" w:eastAsia="仿宋_GB2312" w:cs="Times New Roman"/>
              </w:rPr>
            </w:pPr>
            <w:r>
              <w:rPr>
                <w:rFonts w:ascii="Times New Roman" w:hAnsi="Times New Roman" w:eastAsia="仿宋_GB2312" w:cs="Times New Roman"/>
              </w:rPr>
              <w:t>2</w:t>
            </w:r>
          </w:p>
        </w:tc>
        <w:tc>
          <w:tcPr>
            <w:tcW w:w="1718" w:type="dxa"/>
            <w:vMerge w:val="continue"/>
            <w:vAlign w:val="center"/>
          </w:tcPr>
          <w:p>
            <w:pPr>
              <w:jc w:val="center"/>
              <w:rPr>
                <w:rFonts w:ascii="Times New Roman" w:hAnsi="Times New Roman" w:eastAsia="仿宋_GB2312" w:cs="Times New Roman"/>
              </w:rPr>
            </w:pPr>
          </w:p>
        </w:tc>
        <w:tc>
          <w:tcPr>
            <w:tcW w:w="5572" w:type="dxa"/>
            <w:vAlign w:val="center"/>
          </w:tcPr>
          <w:p>
            <w:pPr>
              <w:jc w:val="center"/>
              <w:rPr>
                <w:rFonts w:ascii="Times New Roman" w:hAnsi="Times New Roman" w:eastAsia="仿宋_GB2312" w:cs="Times New Roman"/>
              </w:rPr>
            </w:pPr>
            <w:r>
              <w:rPr>
                <w:rFonts w:ascii="Times New Roman" w:hAnsi="Times New Roman" w:eastAsia="仿宋_GB2312" w:cs="Times New Roman"/>
              </w:rPr>
              <w:t>哈尔滨市呼兰区基层党员干部培训班</w:t>
            </w:r>
          </w:p>
        </w:tc>
        <w:tc>
          <w:tcPr>
            <w:tcW w:w="923" w:type="dxa"/>
            <w:vAlign w:val="center"/>
          </w:tcPr>
          <w:p>
            <w:pPr>
              <w:jc w:val="center"/>
              <w:rPr>
                <w:rFonts w:ascii="Times New Roman" w:hAnsi="Times New Roman" w:eastAsia="仿宋_GB2312" w:cs="Times New Roman"/>
              </w:rPr>
            </w:pPr>
            <w:r>
              <w:rPr>
                <w:rFonts w:ascii="Times New Roman" w:hAnsi="Times New Roman" w:eastAsia="仿宋_GB2312" w:cs="Times New Roma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4" w:type="dxa"/>
            <w:vAlign w:val="center"/>
          </w:tcPr>
          <w:p>
            <w:pPr>
              <w:jc w:val="center"/>
              <w:rPr>
                <w:rFonts w:ascii="Times New Roman" w:hAnsi="Times New Roman" w:eastAsia="仿宋_GB2312" w:cs="Times New Roman"/>
              </w:rPr>
            </w:pPr>
            <w:r>
              <w:rPr>
                <w:rFonts w:ascii="Times New Roman" w:hAnsi="Times New Roman" w:eastAsia="仿宋_GB2312" w:cs="Times New Roman"/>
              </w:rPr>
              <w:t>3</w:t>
            </w:r>
          </w:p>
        </w:tc>
        <w:tc>
          <w:tcPr>
            <w:tcW w:w="1718" w:type="dxa"/>
            <w:vMerge w:val="continue"/>
            <w:vAlign w:val="center"/>
          </w:tcPr>
          <w:p>
            <w:pPr>
              <w:jc w:val="center"/>
              <w:rPr>
                <w:rFonts w:ascii="Times New Roman" w:hAnsi="Times New Roman" w:eastAsia="仿宋_GB2312" w:cs="Times New Roman"/>
              </w:rPr>
            </w:pPr>
          </w:p>
        </w:tc>
        <w:tc>
          <w:tcPr>
            <w:tcW w:w="5572" w:type="dxa"/>
            <w:vAlign w:val="center"/>
          </w:tcPr>
          <w:p>
            <w:pPr>
              <w:jc w:val="center"/>
              <w:rPr>
                <w:rFonts w:ascii="Times New Roman" w:hAnsi="Times New Roman" w:eastAsia="仿宋_GB2312" w:cs="Times New Roman"/>
              </w:rPr>
            </w:pPr>
            <w:r>
              <w:rPr>
                <w:rFonts w:ascii="Times New Roman" w:hAnsi="Times New Roman" w:eastAsia="仿宋_GB2312" w:cs="Times New Roman"/>
              </w:rPr>
              <w:t>中国造船工程学会智慧海洋与智能海洋装备技术高级研修班</w:t>
            </w:r>
          </w:p>
        </w:tc>
        <w:tc>
          <w:tcPr>
            <w:tcW w:w="923" w:type="dxa"/>
            <w:vAlign w:val="center"/>
          </w:tcPr>
          <w:p>
            <w:pPr>
              <w:jc w:val="center"/>
              <w:rPr>
                <w:rFonts w:ascii="Times New Roman" w:hAnsi="Times New Roman" w:eastAsia="仿宋_GB2312" w:cs="Times New Roman"/>
              </w:rPr>
            </w:pPr>
            <w:r>
              <w:rPr>
                <w:rFonts w:ascii="Times New Roman" w:hAnsi="Times New Roman" w:eastAsia="仿宋_GB2312" w:cs="Times New Roma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4" w:type="dxa"/>
            <w:vAlign w:val="center"/>
          </w:tcPr>
          <w:p>
            <w:pPr>
              <w:jc w:val="center"/>
              <w:rPr>
                <w:rFonts w:ascii="Times New Roman" w:hAnsi="Times New Roman" w:eastAsia="仿宋_GB2312" w:cs="Times New Roman"/>
              </w:rPr>
            </w:pPr>
            <w:r>
              <w:rPr>
                <w:rFonts w:ascii="Times New Roman" w:hAnsi="Times New Roman" w:eastAsia="仿宋_GB2312" w:cs="Times New Roman"/>
              </w:rPr>
              <w:t>4</w:t>
            </w:r>
          </w:p>
        </w:tc>
        <w:tc>
          <w:tcPr>
            <w:tcW w:w="1718" w:type="dxa"/>
            <w:vMerge w:val="continue"/>
            <w:vAlign w:val="center"/>
          </w:tcPr>
          <w:p>
            <w:pPr>
              <w:jc w:val="center"/>
              <w:rPr>
                <w:rFonts w:ascii="Times New Roman" w:hAnsi="Times New Roman" w:eastAsia="仿宋_GB2312" w:cs="Times New Roman"/>
              </w:rPr>
            </w:pPr>
          </w:p>
        </w:tc>
        <w:tc>
          <w:tcPr>
            <w:tcW w:w="5572" w:type="dxa"/>
            <w:vAlign w:val="center"/>
          </w:tcPr>
          <w:p>
            <w:pPr>
              <w:jc w:val="center"/>
              <w:rPr>
                <w:rFonts w:ascii="Times New Roman" w:hAnsi="Times New Roman" w:eastAsia="仿宋_GB2312" w:cs="Times New Roman"/>
              </w:rPr>
            </w:pPr>
            <w:r>
              <w:rPr>
                <w:rFonts w:ascii="Times New Roman" w:hAnsi="Times New Roman" w:eastAsia="仿宋_GB2312" w:cs="Times New Roman"/>
              </w:rPr>
              <w:t>渤海造船厂集团有限公司中层干部管理能力提升培训班</w:t>
            </w:r>
          </w:p>
        </w:tc>
        <w:tc>
          <w:tcPr>
            <w:tcW w:w="923" w:type="dxa"/>
            <w:vAlign w:val="center"/>
          </w:tcPr>
          <w:p>
            <w:pPr>
              <w:jc w:val="center"/>
              <w:rPr>
                <w:rFonts w:ascii="Times New Roman" w:hAnsi="Times New Roman" w:eastAsia="仿宋_GB2312" w:cs="Times New Roman"/>
              </w:rPr>
            </w:pPr>
            <w:r>
              <w:rPr>
                <w:rFonts w:ascii="Times New Roman" w:hAnsi="Times New Roman" w:eastAsia="仿宋_GB2312" w:cs="Times New Roma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4" w:type="dxa"/>
            <w:vAlign w:val="center"/>
          </w:tcPr>
          <w:p>
            <w:pPr>
              <w:jc w:val="center"/>
              <w:rPr>
                <w:rFonts w:ascii="Times New Roman" w:hAnsi="Times New Roman" w:eastAsia="仿宋_GB2312" w:cs="Times New Roman"/>
              </w:rPr>
            </w:pPr>
            <w:r>
              <w:rPr>
                <w:rFonts w:ascii="Times New Roman" w:hAnsi="Times New Roman" w:eastAsia="仿宋_GB2312" w:cs="Times New Roman"/>
              </w:rPr>
              <w:t>5</w:t>
            </w:r>
          </w:p>
        </w:tc>
        <w:tc>
          <w:tcPr>
            <w:tcW w:w="1718" w:type="dxa"/>
            <w:vMerge w:val="continue"/>
            <w:vAlign w:val="center"/>
          </w:tcPr>
          <w:p>
            <w:pPr>
              <w:jc w:val="center"/>
              <w:rPr>
                <w:rFonts w:ascii="Times New Roman" w:hAnsi="Times New Roman" w:eastAsia="仿宋_GB2312" w:cs="Times New Roman"/>
              </w:rPr>
            </w:pPr>
          </w:p>
        </w:tc>
        <w:tc>
          <w:tcPr>
            <w:tcW w:w="5572" w:type="dxa"/>
            <w:vAlign w:val="center"/>
          </w:tcPr>
          <w:p>
            <w:pPr>
              <w:jc w:val="center"/>
              <w:rPr>
                <w:rFonts w:ascii="Times New Roman" w:hAnsi="Times New Roman" w:eastAsia="仿宋_GB2312" w:cs="Times New Roman"/>
              </w:rPr>
            </w:pPr>
            <w:r>
              <w:rPr>
                <w:rFonts w:ascii="Times New Roman" w:hAnsi="Times New Roman" w:eastAsia="仿宋_GB2312" w:cs="Times New Roman"/>
              </w:rPr>
              <w:t>上海沪东中华进修学院“师资能力提升”培训班</w:t>
            </w:r>
          </w:p>
        </w:tc>
        <w:tc>
          <w:tcPr>
            <w:tcW w:w="923" w:type="dxa"/>
            <w:vAlign w:val="center"/>
          </w:tcPr>
          <w:p>
            <w:pPr>
              <w:jc w:val="center"/>
              <w:rPr>
                <w:rFonts w:ascii="Times New Roman" w:hAnsi="Times New Roman" w:eastAsia="仿宋_GB2312" w:cs="Times New Roman"/>
              </w:rPr>
            </w:pPr>
            <w:r>
              <w:rPr>
                <w:rFonts w:ascii="Times New Roman" w:hAnsi="Times New Roman" w:eastAsia="仿宋_GB2312"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24" w:type="dxa"/>
            <w:vAlign w:val="center"/>
          </w:tcPr>
          <w:p>
            <w:pPr>
              <w:jc w:val="center"/>
              <w:rPr>
                <w:rFonts w:ascii="Times New Roman" w:hAnsi="Times New Roman" w:eastAsia="仿宋_GB2312" w:cs="Times New Roman"/>
              </w:rPr>
            </w:pPr>
            <w:r>
              <w:rPr>
                <w:rFonts w:ascii="Times New Roman" w:hAnsi="Times New Roman" w:eastAsia="仿宋_GB2312" w:cs="Times New Roman"/>
              </w:rPr>
              <w:t>6</w:t>
            </w:r>
          </w:p>
        </w:tc>
        <w:tc>
          <w:tcPr>
            <w:tcW w:w="1718" w:type="dxa"/>
            <w:vMerge w:val="continue"/>
            <w:vAlign w:val="center"/>
          </w:tcPr>
          <w:p>
            <w:pPr>
              <w:jc w:val="center"/>
              <w:rPr>
                <w:rFonts w:ascii="Times New Roman" w:hAnsi="Times New Roman" w:eastAsia="仿宋_GB2312" w:cs="Times New Roman"/>
              </w:rPr>
            </w:pPr>
          </w:p>
        </w:tc>
        <w:tc>
          <w:tcPr>
            <w:tcW w:w="5572" w:type="dxa"/>
            <w:vAlign w:val="center"/>
          </w:tcPr>
          <w:p>
            <w:pPr>
              <w:jc w:val="center"/>
              <w:rPr>
                <w:rFonts w:ascii="Times New Roman" w:hAnsi="Times New Roman" w:eastAsia="仿宋_GB2312" w:cs="Times New Roman"/>
              </w:rPr>
            </w:pPr>
            <w:r>
              <w:rPr>
                <w:rFonts w:ascii="Times New Roman" w:hAnsi="Times New Roman" w:eastAsia="仿宋_GB2312" w:cs="Times New Roman"/>
              </w:rPr>
              <w:t>《压力与情绪管理》盛和伟业集团EDP培训班</w:t>
            </w:r>
          </w:p>
        </w:tc>
        <w:tc>
          <w:tcPr>
            <w:tcW w:w="923" w:type="dxa"/>
            <w:vAlign w:val="center"/>
          </w:tcPr>
          <w:p>
            <w:pPr>
              <w:jc w:val="center"/>
              <w:rPr>
                <w:rFonts w:ascii="Times New Roman" w:hAnsi="Times New Roman" w:eastAsia="仿宋_GB2312" w:cs="Times New Roman"/>
              </w:rPr>
            </w:pPr>
            <w:r>
              <w:rPr>
                <w:rFonts w:ascii="Times New Roman" w:hAnsi="Times New Roman" w:eastAsia="仿宋_GB2312"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4" w:type="dxa"/>
            <w:vAlign w:val="center"/>
          </w:tcPr>
          <w:p>
            <w:pPr>
              <w:jc w:val="center"/>
              <w:rPr>
                <w:rFonts w:ascii="Times New Roman" w:hAnsi="Times New Roman" w:eastAsia="仿宋_GB2312" w:cs="Times New Roman"/>
              </w:rPr>
            </w:pPr>
            <w:r>
              <w:rPr>
                <w:rFonts w:ascii="Times New Roman" w:hAnsi="Times New Roman" w:eastAsia="仿宋_GB2312" w:cs="Times New Roman"/>
              </w:rPr>
              <w:t>7</w:t>
            </w:r>
          </w:p>
        </w:tc>
        <w:tc>
          <w:tcPr>
            <w:tcW w:w="1718" w:type="dxa"/>
            <w:vMerge w:val="continue"/>
            <w:vAlign w:val="center"/>
          </w:tcPr>
          <w:p>
            <w:pPr>
              <w:jc w:val="center"/>
              <w:rPr>
                <w:rFonts w:ascii="Times New Roman" w:hAnsi="Times New Roman" w:eastAsia="仿宋_GB2312" w:cs="Times New Roman"/>
              </w:rPr>
            </w:pPr>
          </w:p>
        </w:tc>
        <w:tc>
          <w:tcPr>
            <w:tcW w:w="5572" w:type="dxa"/>
            <w:vAlign w:val="center"/>
          </w:tcPr>
          <w:p>
            <w:pPr>
              <w:jc w:val="center"/>
              <w:rPr>
                <w:rFonts w:ascii="Times New Roman" w:hAnsi="Times New Roman" w:eastAsia="仿宋_GB2312" w:cs="Times New Roman"/>
              </w:rPr>
            </w:pPr>
            <w:r>
              <w:rPr>
                <w:rFonts w:ascii="Times New Roman" w:hAnsi="Times New Roman" w:eastAsia="仿宋_GB2312" w:cs="Times New Roman"/>
              </w:rPr>
              <w:t>大连船舶重工集团有限公司第二期专项培训班</w:t>
            </w:r>
          </w:p>
        </w:tc>
        <w:tc>
          <w:tcPr>
            <w:tcW w:w="923" w:type="dxa"/>
            <w:vAlign w:val="center"/>
          </w:tcPr>
          <w:p>
            <w:pPr>
              <w:jc w:val="center"/>
              <w:rPr>
                <w:rFonts w:ascii="Times New Roman" w:hAnsi="Times New Roman" w:eastAsia="仿宋_GB2312" w:cs="Times New Roman"/>
              </w:rPr>
            </w:pPr>
            <w:r>
              <w:rPr>
                <w:rFonts w:ascii="Times New Roman" w:hAnsi="Times New Roman" w:eastAsia="仿宋_GB2312" w:cs="Times New Roma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24" w:type="dxa"/>
            <w:vAlign w:val="center"/>
          </w:tcPr>
          <w:p>
            <w:pPr>
              <w:jc w:val="center"/>
              <w:rPr>
                <w:rFonts w:ascii="Times New Roman" w:hAnsi="Times New Roman" w:eastAsia="仿宋_GB2312" w:cs="Times New Roman"/>
              </w:rPr>
            </w:pPr>
            <w:r>
              <w:rPr>
                <w:rFonts w:ascii="Times New Roman" w:hAnsi="Times New Roman" w:eastAsia="仿宋_GB2312" w:cs="Times New Roman"/>
              </w:rPr>
              <w:t>8</w:t>
            </w:r>
          </w:p>
        </w:tc>
        <w:tc>
          <w:tcPr>
            <w:tcW w:w="1718" w:type="dxa"/>
            <w:vMerge w:val="continue"/>
            <w:vAlign w:val="center"/>
          </w:tcPr>
          <w:p>
            <w:pPr>
              <w:jc w:val="center"/>
              <w:rPr>
                <w:rFonts w:ascii="Times New Roman" w:hAnsi="Times New Roman" w:eastAsia="仿宋_GB2312" w:cs="Times New Roman"/>
              </w:rPr>
            </w:pPr>
          </w:p>
        </w:tc>
        <w:tc>
          <w:tcPr>
            <w:tcW w:w="5572" w:type="dxa"/>
            <w:vAlign w:val="center"/>
          </w:tcPr>
          <w:p>
            <w:pPr>
              <w:jc w:val="center"/>
              <w:rPr>
                <w:rFonts w:ascii="Times New Roman" w:hAnsi="Times New Roman" w:eastAsia="仿宋_GB2312" w:cs="Times New Roman"/>
              </w:rPr>
            </w:pPr>
            <w:r>
              <w:rPr>
                <w:rFonts w:ascii="Times New Roman" w:hAnsi="Times New Roman" w:eastAsia="仿宋_GB2312" w:cs="Times New Roman"/>
              </w:rPr>
              <w:t>核动力装置见习操纵员模拟器培训班</w:t>
            </w:r>
          </w:p>
        </w:tc>
        <w:tc>
          <w:tcPr>
            <w:tcW w:w="923" w:type="dxa"/>
            <w:vAlign w:val="center"/>
          </w:tcPr>
          <w:p>
            <w:pPr>
              <w:jc w:val="center"/>
              <w:rPr>
                <w:rFonts w:ascii="Times New Roman" w:hAnsi="Times New Roman" w:eastAsia="仿宋_GB2312" w:cs="Times New Roman"/>
              </w:rPr>
            </w:pPr>
            <w:r>
              <w:rPr>
                <w:rFonts w:ascii="Times New Roman" w:hAnsi="Times New Roman" w:eastAsia="仿宋_GB2312"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4" w:type="dxa"/>
            <w:vAlign w:val="center"/>
          </w:tcPr>
          <w:p>
            <w:pPr>
              <w:jc w:val="center"/>
              <w:rPr>
                <w:rFonts w:ascii="Times New Roman" w:hAnsi="Times New Roman" w:eastAsia="仿宋_GB2312" w:cs="Times New Roman"/>
              </w:rPr>
            </w:pPr>
            <w:r>
              <w:rPr>
                <w:rFonts w:ascii="Times New Roman" w:hAnsi="Times New Roman" w:eastAsia="仿宋_GB2312" w:cs="Times New Roman"/>
              </w:rPr>
              <w:t>9</w:t>
            </w:r>
          </w:p>
        </w:tc>
        <w:tc>
          <w:tcPr>
            <w:tcW w:w="1718" w:type="dxa"/>
            <w:vMerge w:val="restart"/>
            <w:vAlign w:val="center"/>
          </w:tcPr>
          <w:p>
            <w:pPr>
              <w:jc w:val="center"/>
              <w:rPr>
                <w:rFonts w:ascii="Times New Roman" w:hAnsi="Times New Roman" w:eastAsia="仿宋_GB2312" w:cs="Times New Roman"/>
              </w:rPr>
            </w:pPr>
            <w:r>
              <w:rPr>
                <w:rFonts w:ascii="Times New Roman" w:hAnsi="Times New Roman" w:eastAsia="仿宋_GB2312" w:cs="Times New Roman"/>
              </w:rPr>
              <w:t>岗位技能培训</w:t>
            </w:r>
          </w:p>
        </w:tc>
        <w:tc>
          <w:tcPr>
            <w:tcW w:w="5572" w:type="dxa"/>
            <w:vAlign w:val="center"/>
          </w:tcPr>
          <w:p>
            <w:pPr>
              <w:jc w:val="center"/>
              <w:rPr>
                <w:rFonts w:ascii="Times New Roman" w:hAnsi="Times New Roman" w:eastAsia="仿宋_GB2312" w:cs="Times New Roman"/>
              </w:rPr>
            </w:pPr>
            <w:r>
              <w:rPr>
                <w:rFonts w:ascii="Times New Roman" w:hAnsi="Times New Roman" w:eastAsia="仿宋_GB2312" w:cs="Times New Roman"/>
              </w:rPr>
              <w:t>轮胎工业4.0高技能人才定向就业委培班（青岛双星集团定向就业班）</w:t>
            </w:r>
          </w:p>
        </w:tc>
        <w:tc>
          <w:tcPr>
            <w:tcW w:w="923" w:type="dxa"/>
            <w:vAlign w:val="center"/>
          </w:tcPr>
          <w:p>
            <w:pPr>
              <w:jc w:val="center"/>
              <w:rPr>
                <w:rFonts w:ascii="Times New Roman" w:hAnsi="Times New Roman" w:eastAsia="仿宋_GB2312" w:cs="Times New Roman"/>
              </w:rPr>
            </w:pPr>
            <w:r>
              <w:rPr>
                <w:rFonts w:ascii="Times New Roman" w:hAnsi="Times New Roman" w:eastAsia="仿宋_GB2312"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4" w:type="dxa"/>
            <w:vAlign w:val="center"/>
          </w:tcPr>
          <w:p>
            <w:pPr>
              <w:jc w:val="center"/>
              <w:rPr>
                <w:rFonts w:ascii="Times New Roman" w:hAnsi="Times New Roman" w:eastAsia="仿宋_GB2312" w:cs="Times New Roman"/>
              </w:rPr>
            </w:pPr>
            <w:r>
              <w:rPr>
                <w:rFonts w:ascii="Times New Roman" w:hAnsi="Times New Roman" w:eastAsia="仿宋_GB2312" w:cs="Times New Roman"/>
              </w:rPr>
              <w:t>10</w:t>
            </w:r>
          </w:p>
        </w:tc>
        <w:tc>
          <w:tcPr>
            <w:tcW w:w="1718" w:type="dxa"/>
            <w:vMerge w:val="continue"/>
            <w:vAlign w:val="center"/>
          </w:tcPr>
          <w:p>
            <w:pPr>
              <w:jc w:val="center"/>
              <w:rPr>
                <w:rFonts w:ascii="Times New Roman" w:hAnsi="Times New Roman" w:eastAsia="仿宋_GB2312" w:cs="Times New Roman"/>
              </w:rPr>
            </w:pPr>
          </w:p>
        </w:tc>
        <w:tc>
          <w:tcPr>
            <w:tcW w:w="5572" w:type="dxa"/>
            <w:vAlign w:val="center"/>
          </w:tcPr>
          <w:p>
            <w:pPr>
              <w:jc w:val="center"/>
              <w:rPr>
                <w:rFonts w:ascii="Times New Roman" w:hAnsi="Times New Roman" w:eastAsia="仿宋_GB2312" w:cs="Times New Roman"/>
              </w:rPr>
            </w:pPr>
            <w:r>
              <w:rPr>
                <w:rFonts w:ascii="Times New Roman" w:hAnsi="Times New Roman" w:eastAsia="仿宋_GB2312" w:cs="Times New Roman"/>
              </w:rPr>
              <w:t>航空机电设备维修、虚拟化技术、软件工程、互联网金融等专业岗位技能培训班</w:t>
            </w:r>
          </w:p>
        </w:tc>
        <w:tc>
          <w:tcPr>
            <w:tcW w:w="923" w:type="dxa"/>
            <w:vAlign w:val="center"/>
          </w:tcPr>
          <w:p>
            <w:pPr>
              <w:jc w:val="center"/>
              <w:rPr>
                <w:rFonts w:ascii="Times New Roman" w:hAnsi="Times New Roman" w:eastAsia="仿宋_GB2312" w:cs="Times New Roman"/>
              </w:rPr>
            </w:pPr>
            <w:r>
              <w:rPr>
                <w:rFonts w:ascii="Times New Roman" w:hAnsi="Times New Roman" w:eastAsia="仿宋_GB2312" w:cs="Times New Roman"/>
              </w:rPr>
              <w:t>1184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4" w:type="dxa"/>
            <w:vAlign w:val="center"/>
          </w:tcPr>
          <w:p>
            <w:pPr>
              <w:jc w:val="center"/>
              <w:rPr>
                <w:rFonts w:ascii="Times New Roman" w:hAnsi="Times New Roman" w:eastAsia="仿宋_GB2312" w:cs="Times New Roman"/>
              </w:rPr>
            </w:pPr>
            <w:r>
              <w:rPr>
                <w:rFonts w:ascii="Times New Roman" w:hAnsi="Times New Roman" w:eastAsia="仿宋_GB2312" w:cs="Times New Roman"/>
              </w:rPr>
              <w:t>11</w:t>
            </w:r>
          </w:p>
        </w:tc>
        <w:tc>
          <w:tcPr>
            <w:tcW w:w="1718" w:type="dxa"/>
            <w:vAlign w:val="center"/>
          </w:tcPr>
          <w:p>
            <w:pPr>
              <w:jc w:val="center"/>
              <w:rPr>
                <w:rFonts w:ascii="Times New Roman" w:hAnsi="Times New Roman" w:eastAsia="仿宋_GB2312" w:cs="Times New Roman"/>
              </w:rPr>
            </w:pPr>
            <w:r>
              <w:rPr>
                <w:rFonts w:ascii="Times New Roman" w:hAnsi="Times New Roman" w:eastAsia="仿宋_GB2312" w:cs="Times New Roman"/>
              </w:rPr>
              <w:t>考试培训</w:t>
            </w:r>
          </w:p>
        </w:tc>
        <w:tc>
          <w:tcPr>
            <w:tcW w:w="5572" w:type="dxa"/>
            <w:vAlign w:val="center"/>
          </w:tcPr>
          <w:p>
            <w:pPr>
              <w:jc w:val="center"/>
              <w:rPr>
                <w:rFonts w:ascii="Times New Roman" w:hAnsi="Times New Roman" w:eastAsia="仿宋_GB2312" w:cs="Times New Roman"/>
              </w:rPr>
            </w:pPr>
            <w:r>
              <w:rPr>
                <w:rFonts w:ascii="Times New Roman" w:hAnsi="Times New Roman" w:eastAsia="仿宋_GB2312" w:cs="Times New Roman"/>
              </w:rPr>
              <w:t>A-level国际课程培训班</w:t>
            </w:r>
          </w:p>
        </w:tc>
        <w:tc>
          <w:tcPr>
            <w:tcW w:w="923" w:type="dxa"/>
            <w:vAlign w:val="center"/>
          </w:tcPr>
          <w:p>
            <w:pPr>
              <w:jc w:val="center"/>
              <w:rPr>
                <w:rFonts w:ascii="Times New Roman" w:hAnsi="Times New Roman" w:eastAsia="仿宋_GB2312" w:cs="Times New Roman"/>
              </w:rPr>
            </w:pPr>
            <w:r>
              <w:rPr>
                <w:rFonts w:ascii="Times New Roman" w:hAnsi="Times New Roman" w:eastAsia="仿宋_GB2312" w:cs="Times New Roma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14" w:type="dxa"/>
            <w:gridSpan w:val="3"/>
            <w:vAlign w:val="center"/>
          </w:tcPr>
          <w:p>
            <w:pPr>
              <w:jc w:val="center"/>
              <w:rPr>
                <w:rFonts w:ascii="Times New Roman" w:hAnsi="Times New Roman" w:eastAsia="仿宋_GB2312" w:cs="Times New Roman"/>
              </w:rPr>
            </w:pPr>
            <w:r>
              <w:rPr>
                <w:rFonts w:ascii="Times New Roman" w:hAnsi="Times New Roman" w:eastAsia="仿宋_GB2312" w:cs="Times New Roman"/>
              </w:rPr>
              <w:t>总计</w:t>
            </w:r>
          </w:p>
        </w:tc>
        <w:tc>
          <w:tcPr>
            <w:tcW w:w="923" w:type="dxa"/>
            <w:vAlign w:val="center"/>
          </w:tcPr>
          <w:p>
            <w:pPr>
              <w:jc w:val="center"/>
              <w:rPr>
                <w:rFonts w:ascii="Times New Roman" w:hAnsi="Times New Roman" w:eastAsia="仿宋_GB2312" w:cs="Times New Roman"/>
              </w:rPr>
            </w:pPr>
            <w:r>
              <w:rPr>
                <w:rFonts w:ascii="Times New Roman" w:hAnsi="Times New Roman" w:eastAsia="仿宋_GB2312" w:cs="Times New Roman"/>
              </w:rPr>
              <w:t>2063</w:t>
            </w:r>
          </w:p>
        </w:tc>
      </w:tr>
    </w:tbl>
    <w:p>
      <w:pPr>
        <w:adjustRightInd w:val="0"/>
        <w:snapToGrid w:val="0"/>
        <w:spacing w:line="560" w:lineRule="exact"/>
        <w:ind w:firstLine="640" w:firstLineChars="200"/>
        <w:jc w:val="left"/>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4.公益项目</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克服疫情影响，采用线上线下相结合的教学模式，坚持公益导向，面向哈尔滨市高校学生开展“大学生职业规划”公益培训活动，赢得学生和家长的一致好评。坚持做好“我为师生办实事”实践活动，开展第十九届非线性偏微分方程暑期讲习班、国家天元数学东北中心高校青年教师暑期培训班、英语阅读能力提升培训班等各类公益培训活动。</w:t>
      </w:r>
    </w:p>
    <w:bookmarkEnd w:id="23"/>
    <w:p>
      <w:pPr>
        <w:pStyle w:val="3"/>
        <w:keepNext w:val="0"/>
        <w:keepLines w:val="0"/>
        <w:spacing w:before="0" w:after="0" w:line="560" w:lineRule="exact"/>
        <w:ind w:firstLine="640" w:firstLineChars="200"/>
        <w:rPr>
          <w:rFonts w:ascii="Times New Roman" w:hAnsi="Times New Roman" w:eastAsia="黑体" w:cs="Times New Roman"/>
          <w:b w:val="0"/>
        </w:rPr>
      </w:pPr>
      <w:bookmarkStart w:id="24" w:name="_Toc111538262"/>
      <w:bookmarkStart w:id="25" w:name="_Toc112076258"/>
      <w:r>
        <w:rPr>
          <w:rFonts w:ascii="Times New Roman" w:hAnsi="Times New Roman" w:eastAsia="黑体" w:cs="Times New Roman"/>
          <w:b w:val="0"/>
        </w:rPr>
        <w:t>四、质量保证</w:t>
      </w:r>
      <w:bookmarkEnd w:id="24"/>
      <w:bookmarkEnd w:id="25"/>
    </w:p>
    <w:p>
      <w:pPr>
        <w:pStyle w:val="45"/>
        <w:keepNext w:val="0"/>
        <w:keepLines w:val="0"/>
        <w:spacing w:line="560" w:lineRule="exact"/>
        <w:ind w:left="630"/>
        <w:rPr>
          <w:rFonts w:ascii="Times New Roman" w:hAnsi="Times New Roman" w:eastAsia="楷体_GB2312" w:cs="Times New Roman"/>
          <w:kern w:val="2"/>
        </w:rPr>
      </w:pPr>
      <w:bookmarkStart w:id="26" w:name="_Toc112076259"/>
      <w:bookmarkStart w:id="27" w:name="_Toc111538263"/>
      <w:r>
        <w:rPr>
          <w:rFonts w:ascii="Times New Roman" w:hAnsi="Times New Roman" w:eastAsia="楷体_GB2312" w:cs="Times New Roman"/>
          <w:kern w:val="2"/>
        </w:rPr>
        <w:t>（一）制度建设</w:t>
      </w:r>
      <w:bookmarkEnd w:id="26"/>
      <w:bookmarkEnd w:id="27"/>
    </w:p>
    <w:p>
      <w:pPr>
        <w:adjustRightInd w:val="0"/>
        <w:snapToGrid w:val="0"/>
        <w:spacing w:line="58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坚持将规范办学、保证质量作为继续教育工作的核心任务，始终秉承哈军工传统，严把人才培养质量关。不断完善了高等学历继续教育本科毕业生学士学位授予、教学管理、学籍管理等方面的相关工作制度，细化了非学历教育招生管理、教学管理、班主任管理等方面的实施细则，不断探索高等学历继续教育和非学历教育相关制度建设，促进继续教育工作健康有序运行。</w:t>
      </w:r>
    </w:p>
    <w:p>
      <w:pPr>
        <w:pStyle w:val="45"/>
        <w:keepNext w:val="0"/>
        <w:keepLines w:val="0"/>
        <w:spacing w:line="560" w:lineRule="exact"/>
        <w:ind w:firstLine="630" w:firstLineChars="196"/>
        <w:rPr>
          <w:rFonts w:ascii="Times New Roman" w:hAnsi="Times New Roman" w:eastAsia="楷体_GB2312" w:cs="Times New Roman"/>
          <w:kern w:val="2"/>
        </w:rPr>
      </w:pPr>
      <w:bookmarkStart w:id="28" w:name="_Toc111538264"/>
      <w:bookmarkStart w:id="29" w:name="_Toc112076260"/>
      <w:r>
        <w:rPr>
          <w:rFonts w:ascii="Times New Roman" w:hAnsi="Times New Roman" w:eastAsia="楷体_GB2312" w:cs="Times New Roman"/>
          <w:kern w:val="2"/>
        </w:rPr>
        <w:t>（二）师资和管理人员队伍建设</w:t>
      </w:r>
      <w:bookmarkEnd w:id="28"/>
      <w:bookmarkEnd w:id="29"/>
    </w:p>
    <w:p>
      <w:pPr>
        <w:adjustRightInd w:val="0"/>
        <w:snapToGrid w:val="0"/>
        <w:spacing w:line="58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学校教师为依托，以兼聘教师为补充，建立了一支400余人的具备熟悉相关专业知识、了解继续教育规律、师德师风高尚、关心关爱学生的专兼职继续教育教师队伍。高等学历继续教育严格按照相关要求选聘授课教师对人才培养方案中的课程进行录制和讲授，其中主讲教师67人（高级职称占55%），辅导教师267人；根据非学历教育项目的实际需求，聘请各类授课教师100余名（高级职称占30%），针对不同群体和不同主题，凝练培训课程、准备培训课件、精心进行讲授。学校</w:t>
      </w:r>
      <w:r>
        <w:rPr>
          <w:rFonts w:hint="eastAsia" w:ascii="Times New Roman" w:hAnsi="Times New Roman" w:eastAsia="仿宋_GB2312" w:cs="Times New Roman"/>
          <w:kern w:val="0"/>
          <w:sz w:val="32"/>
          <w:szCs w:val="32"/>
        </w:rPr>
        <w:t>形成了一支由本科生院、</w:t>
      </w:r>
      <w:r>
        <w:rPr>
          <w:rFonts w:ascii="Times New Roman" w:hAnsi="Times New Roman" w:eastAsia="仿宋_GB2312" w:cs="Times New Roman"/>
          <w:kern w:val="0"/>
          <w:sz w:val="32"/>
          <w:szCs w:val="32"/>
        </w:rPr>
        <w:t>继续教育</w:t>
      </w:r>
      <w:r>
        <w:rPr>
          <w:rFonts w:hint="eastAsia" w:ascii="Times New Roman" w:hAnsi="Times New Roman" w:eastAsia="仿宋_GB2312" w:cs="Times New Roman"/>
          <w:kern w:val="0"/>
          <w:sz w:val="32"/>
          <w:szCs w:val="32"/>
        </w:rPr>
        <w:t>学院及其他相关学院共同组成的继续教育</w:t>
      </w:r>
      <w:r>
        <w:rPr>
          <w:rFonts w:ascii="Times New Roman" w:hAnsi="Times New Roman" w:eastAsia="仿宋_GB2312" w:cs="Times New Roman"/>
          <w:kern w:val="0"/>
          <w:sz w:val="32"/>
          <w:szCs w:val="32"/>
        </w:rPr>
        <w:t>管理服务人员队伍。为保障教学质量，学校定期组织授课教师及管理人员开展业务培训，组织授课教师签订师德师风承诺书，对授课教师提出明确要求并加强授课内容的意识形态管控，对教师教学活动加强监督检查，全面保障教学质量。</w:t>
      </w:r>
    </w:p>
    <w:p>
      <w:pPr>
        <w:pStyle w:val="45"/>
        <w:keepNext w:val="0"/>
        <w:keepLines w:val="0"/>
        <w:spacing w:line="560" w:lineRule="exact"/>
        <w:ind w:firstLine="630" w:firstLineChars="196"/>
        <w:rPr>
          <w:rFonts w:ascii="Times New Roman" w:hAnsi="Times New Roman" w:eastAsia="楷体_GB2312" w:cs="Times New Roman"/>
          <w:kern w:val="2"/>
        </w:rPr>
      </w:pPr>
      <w:bookmarkStart w:id="30" w:name="_Toc112076261"/>
      <w:bookmarkStart w:id="31" w:name="_Toc111538265"/>
      <w:r>
        <w:rPr>
          <w:rFonts w:ascii="Times New Roman" w:hAnsi="Times New Roman" w:eastAsia="楷体_GB2312" w:cs="Times New Roman"/>
          <w:kern w:val="2"/>
        </w:rPr>
        <w:t>（三）资源建设</w:t>
      </w:r>
      <w:bookmarkEnd w:id="30"/>
      <w:bookmarkEnd w:id="31"/>
    </w:p>
    <w:p>
      <w:pPr>
        <w:adjustRightInd w:val="0"/>
        <w:snapToGrid w:val="0"/>
        <w:spacing w:line="58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不断加强继续教育资源建设，打造网络化、数字化教学体系。累计完成300余门数字化课程建设，出版47种专用教材、21种电子教材。持续升级改造智慧教室软硬件环境，初步形成兼具线下面授、远程直播、课程录制、在线考试于一体的教学服务功能。坚持将思想政治教育贯穿专业人才培养体系，加强思政教育的内涵建设，落实课程思政建设，成人函授课程《宏观经济学》获批黑龙江省第二批课程思政示范课程继续教育领域立项。</w:t>
      </w:r>
    </w:p>
    <w:p>
      <w:pPr>
        <w:pStyle w:val="45"/>
        <w:keepNext w:val="0"/>
        <w:keepLines w:val="0"/>
        <w:spacing w:line="560" w:lineRule="exact"/>
        <w:ind w:firstLine="630" w:firstLineChars="196"/>
        <w:rPr>
          <w:rFonts w:ascii="Times New Roman" w:hAnsi="Times New Roman" w:eastAsia="楷体_GB2312" w:cs="Times New Roman"/>
          <w:kern w:val="2"/>
        </w:rPr>
      </w:pPr>
      <w:bookmarkStart w:id="32" w:name="_Toc111538266"/>
      <w:bookmarkStart w:id="33" w:name="_Toc112076262"/>
      <w:r>
        <w:rPr>
          <w:rFonts w:ascii="Times New Roman" w:hAnsi="Times New Roman" w:eastAsia="楷体_GB2312" w:cs="Times New Roman"/>
          <w:kern w:val="2"/>
        </w:rPr>
        <w:t>（四）合作办学及校外教学站点建设和管理情况</w:t>
      </w:r>
      <w:bookmarkEnd w:id="32"/>
      <w:bookmarkEnd w:id="33"/>
    </w:p>
    <w:p>
      <w:pPr>
        <w:adjustRightInd w:val="0"/>
        <w:snapToGrid w:val="0"/>
        <w:spacing w:line="58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学校高度重视校外教学点的设置与管理，认真落实办学主体责任，持续加强监督管理，目前在山东省、辽宁省、海南省和黑龙江省四个省份设立6个校外教学点。</w:t>
      </w:r>
    </w:p>
    <w:p>
      <w:pPr>
        <w:adjustRightInd w:val="0"/>
        <w:snapToGrid w:val="0"/>
        <w:spacing w:line="58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学校严格执行国家、各省教育厅相关文件精神及学校出台的有关规定，对各校外教学点严格执行由学校统一编制的教学计划、课程大纲和教材目录。通过信息化平台、线上会议、微信群和QQ 群等方式对招生、教学、学习支持服务和学生管理等环节进行了全方位、全过程的考核和监控。根据教学管理平台数据对学生线上学习频率、学习状态进行监督管理，对校外教学点管理人员进行培训，提升支持服务水平。面授期间，学校派出巡视人员监督和检查校外教学点教学组织情况和课堂教学情况。2021年，重点对招生宣传工作进行了专项检查，未发现有违规用语、虚假承诺、夸大宣传或委托其他组织（个人）代为招生宣传等违规情况。</w:t>
      </w:r>
    </w:p>
    <w:p>
      <w:pPr>
        <w:adjustRightInd w:val="0"/>
        <w:snapToGrid w:val="0"/>
        <w:spacing w:line="580" w:lineRule="exact"/>
        <w:ind w:firstLine="640" w:firstLineChars="200"/>
        <w:textAlignment w:val="center"/>
        <w:rPr>
          <w:rFonts w:ascii="Times New Roman" w:hAnsi="Times New Roman" w:eastAsia="仿宋_GB2312" w:cs="Times New Roman"/>
          <w:kern w:val="0"/>
          <w:sz w:val="32"/>
          <w:szCs w:val="32"/>
        </w:rPr>
      </w:pPr>
    </w:p>
    <w:p>
      <w:pPr>
        <w:adjustRightInd w:val="0"/>
        <w:snapToGrid w:val="0"/>
        <w:spacing w:line="580" w:lineRule="exact"/>
        <w:ind w:firstLine="640" w:firstLineChars="200"/>
        <w:textAlignment w:val="center"/>
        <w:rPr>
          <w:rFonts w:hint="eastAsia" w:ascii="Times New Roman" w:hAnsi="Times New Roman" w:eastAsia="仿宋_GB2312" w:cs="Times New Roman"/>
          <w:kern w:val="0"/>
          <w:sz w:val="32"/>
          <w:szCs w:val="32"/>
        </w:rPr>
      </w:pPr>
    </w:p>
    <w:p>
      <w:pPr>
        <w:spacing w:line="560" w:lineRule="exact"/>
        <w:ind w:firstLine="1800" w:firstLineChars="600"/>
        <w:rPr>
          <w:rFonts w:ascii="Times New Roman" w:hAnsi="Times New Roman" w:eastAsia="楷体" w:cs="Times New Roman"/>
          <w:kern w:val="0"/>
          <w:sz w:val="30"/>
          <w:szCs w:val="30"/>
        </w:rPr>
      </w:pPr>
      <w:r>
        <w:rPr>
          <w:rFonts w:ascii="Times New Roman" w:hAnsi="Times New Roman" w:eastAsia="楷体" w:cs="Times New Roman"/>
          <w:kern w:val="0"/>
          <w:sz w:val="30"/>
          <w:szCs w:val="30"/>
        </w:rPr>
        <w:t>表4  学校校外教学点设置一览表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670"/>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9" w:type="dxa"/>
            <w:vAlign w:val="center"/>
          </w:tcPr>
          <w:p>
            <w:pPr>
              <w:adjustRightInd w:val="0"/>
              <w:snapToGrid w:val="0"/>
              <w:contextualSpacing/>
              <w:jc w:val="center"/>
              <w:textAlignment w:val="center"/>
              <w:rPr>
                <w:rFonts w:ascii="Times New Roman" w:hAnsi="Times New Roman" w:eastAsia="仿宋_GB2312" w:cs="Times New Roman"/>
                <w:b/>
                <w:kern w:val="0"/>
              </w:rPr>
            </w:pPr>
            <w:bookmarkStart w:id="34" w:name="_Toc111538267"/>
            <w:r>
              <w:rPr>
                <w:rFonts w:ascii="Times New Roman" w:hAnsi="Times New Roman" w:eastAsia="仿宋_GB2312" w:cs="Times New Roman"/>
                <w:b/>
                <w:kern w:val="0"/>
              </w:rPr>
              <w:t>序号</w:t>
            </w:r>
          </w:p>
        </w:tc>
        <w:tc>
          <w:tcPr>
            <w:tcW w:w="5670" w:type="dxa"/>
            <w:vAlign w:val="center"/>
          </w:tcPr>
          <w:p>
            <w:pPr>
              <w:adjustRightInd w:val="0"/>
              <w:snapToGrid w:val="0"/>
              <w:contextualSpacing/>
              <w:jc w:val="center"/>
              <w:textAlignment w:val="center"/>
              <w:rPr>
                <w:rFonts w:ascii="Times New Roman" w:hAnsi="Times New Roman" w:eastAsia="仿宋_GB2312" w:cs="Times New Roman"/>
                <w:b/>
                <w:kern w:val="0"/>
              </w:rPr>
            </w:pPr>
            <w:r>
              <w:rPr>
                <w:rFonts w:ascii="Times New Roman" w:hAnsi="Times New Roman" w:eastAsia="仿宋_GB2312" w:cs="Times New Roman"/>
                <w:b/>
                <w:kern w:val="0"/>
              </w:rPr>
              <w:t>合作单位</w:t>
            </w:r>
          </w:p>
        </w:tc>
        <w:tc>
          <w:tcPr>
            <w:tcW w:w="2595" w:type="dxa"/>
            <w:vAlign w:val="center"/>
          </w:tcPr>
          <w:p>
            <w:pPr>
              <w:adjustRightInd w:val="0"/>
              <w:snapToGrid w:val="0"/>
              <w:contextualSpacing/>
              <w:jc w:val="center"/>
              <w:textAlignment w:val="center"/>
              <w:rPr>
                <w:rFonts w:ascii="Times New Roman" w:hAnsi="Times New Roman" w:eastAsia="仿宋_GB2312" w:cs="Times New Roman"/>
                <w:b/>
                <w:kern w:val="0"/>
              </w:rPr>
            </w:pPr>
            <w:r>
              <w:rPr>
                <w:rFonts w:ascii="Times New Roman" w:hAnsi="Times New Roman" w:eastAsia="仿宋_GB2312" w:cs="Times New Roman"/>
                <w:b/>
                <w:kern w:val="0"/>
              </w:rPr>
              <w:t>合作内容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9" w:type="dxa"/>
            <w:vAlign w:val="center"/>
          </w:tcPr>
          <w:p>
            <w:pPr>
              <w:adjustRightInd w:val="0"/>
              <w:snapToGrid w:val="0"/>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5670" w:type="dxa"/>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齐齐哈尔理工职业学院</w:t>
            </w:r>
          </w:p>
        </w:tc>
        <w:tc>
          <w:tcPr>
            <w:tcW w:w="2595" w:type="dxa"/>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成人函授校外教学点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9" w:type="dxa"/>
            <w:vAlign w:val="center"/>
          </w:tcPr>
          <w:p>
            <w:pPr>
              <w:adjustRightInd w:val="0"/>
              <w:snapToGrid w:val="0"/>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5670" w:type="dxa"/>
            <w:vAlign w:val="center"/>
          </w:tcPr>
          <w:p>
            <w:pPr>
              <w:adjustRightInd w:val="0"/>
              <w:snapToGrid w:val="0"/>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黑龙江建筑职业学院</w:t>
            </w:r>
          </w:p>
        </w:tc>
        <w:tc>
          <w:tcPr>
            <w:tcW w:w="2595" w:type="dxa"/>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成人函授校外教学点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9" w:type="dxa"/>
            <w:vAlign w:val="center"/>
          </w:tcPr>
          <w:p>
            <w:pPr>
              <w:adjustRightInd w:val="0"/>
              <w:snapToGrid w:val="0"/>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5670" w:type="dxa"/>
            <w:vAlign w:val="center"/>
          </w:tcPr>
          <w:p>
            <w:pPr>
              <w:adjustRightInd w:val="0"/>
              <w:snapToGrid w:val="0"/>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哈尔滨职业技术学院</w:t>
            </w:r>
          </w:p>
        </w:tc>
        <w:tc>
          <w:tcPr>
            <w:tcW w:w="2595" w:type="dxa"/>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成人函授校外教学点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9" w:type="dxa"/>
            <w:vAlign w:val="center"/>
          </w:tcPr>
          <w:p>
            <w:pPr>
              <w:adjustRightInd w:val="0"/>
              <w:snapToGrid w:val="0"/>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5670" w:type="dxa"/>
            <w:vAlign w:val="center"/>
          </w:tcPr>
          <w:p>
            <w:pPr>
              <w:adjustRightInd w:val="0"/>
              <w:snapToGrid w:val="0"/>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渤海船舶职业学院</w:t>
            </w:r>
          </w:p>
        </w:tc>
        <w:tc>
          <w:tcPr>
            <w:tcW w:w="2595" w:type="dxa"/>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成人函授校外教学点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9" w:type="dxa"/>
            <w:vAlign w:val="center"/>
          </w:tcPr>
          <w:p>
            <w:pPr>
              <w:adjustRightInd w:val="0"/>
              <w:snapToGrid w:val="0"/>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5670" w:type="dxa"/>
            <w:vAlign w:val="center"/>
          </w:tcPr>
          <w:p>
            <w:pPr>
              <w:adjustRightInd w:val="0"/>
              <w:snapToGrid w:val="0"/>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青岛西海岸航海职业学校</w:t>
            </w:r>
          </w:p>
        </w:tc>
        <w:tc>
          <w:tcPr>
            <w:tcW w:w="2595" w:type="dxa"/>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成人函授校外教学点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9" w:type="dxa"/>
            <w:vAlign w:val="center"/>
          </w:tcPr>
          <w:p>
            <w:pPr>
              <w:adjustRightInd w:val="0"/>
              <w:snapToGrid w:val="0"/>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6</w:t>
            </w:r>
          </w:p>
        </w:tc>
        <w:tc>
          <w:tcPr>
            <w:tcW w:w="5670" w:type="dxa"/>
            <w:vAlign w:val="center"/>
          </w:tcPr>
          <w:p>
            <w:pPr>
              <w:adjustRightInd w:val="0"/>
              <w:snapToGrid w:val="0"/>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海口华晟科教有限公司（原海南省海运学校）</w:t>
            </w:r>
          </w:p>
        </w:tc>
        <w:tc>
          <w:tcPr>
            <w:tcW w:w="2595" w:type="dxa"/>
            <w:vAlign w:val="center"/>
          </w:tcPr>
          <w:p>
            <w:pPr>
              <w:jc w:val="center"/>
              <w:rPr>
                <w:rFonts w:ascii="Times New Roman" w:hAnsi="Times New Roman" w:cs="Times New Roman"/>
              </w:rPr>
            </w:pPr>
            <w:r>
              <w:rPr>
                <w:rFonts w:ascii="Times New Roman" w:hAnsi="Times New Roman" w:eastAsia="仿宋_GB2312" w:cs="Times New Roman"/>
                <w:kern w:val="0"/>
                <w:lang w:bidi="ar"/>
              </w:rPr>
              <w:t>成人函授校外教学点</w:t>
            </w:r>
          </w:p>
        </w:tc>
      </w:tr>
    </w:tbl>
    <w:p>
      <w:pPr>
        <w:pStyle w:val="45"/>
        <w:keepNext w:val="0"/>
        <w:keepLines w:val="0"/>
        <w:spacing w:line="560" w:lineRule="exact"/>
        <w:ind w:firstLine="630" w:firstLineChars="196"/>
        <w:rPr>
          <w:rFonts w:ascii="Times New Roman" w:hAnsi="Times New Roman" w:eastAsia="楷体_GB2312" w:cs="Times New Roman"/>
          <w:kern w:val="2"/>
        </w:rPr>
      </w:pPr>
      <w:bookmarkStart w:id="35" w:name="_Toc112076263"/>
      <w:r>
        <w:rPr>
          <w:rFonts w:ascii="Times New Roman" w:hAnsi="Times New Roman" w:eastAsia="楷体_GB2312" w:cs="Times New Roman"/>
          <w:kern w:val="2"/>
        </w:rPr>
        <w:t>（五）内部外部质量保障</w:t>
      </w:r>
      <w:bookmarkEnd w:id="34"/>
      <w:bookmarkEnd w:id="35"/>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学校高度重视继续教育的教学质量保障工作，由学校职能部门进行统筹管理，并将继续教育工作纳入财务、审计、监察等部门的监督范围。</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严把招生宣传关，学校建立校外教学点招生宣传监督制度，统一制定招生简章，确保无虚假宣传、扩大宣传；严把培养质量关，明确教师遴选条件，加强师德师风建设，对教学环节进行意识形态管控，学校统一教学大纲、统一教材遴选、统一利用在线教学管理平台对教学过程进行实时监管；严把学生毕业关，学校明确要求论文全员答辩，并组织学校学位评定委员会委员对答辩过程进行督导；严把育人思政关，加强对学生的日常思想政治教育，通过网络化管理手段密切关注学生成长；严把校外教学点质量关，做好年度校外教学点检查备案工作，所有校外教学点均通过年检。</w:t>
      </w:r>
    </w:p>
    <w:p>
      <w:pPr>
        <w:pStyle w:val="45"/>
        <w:keepNext w:val="0"/>
        <w:keepLines w:val="0"/>
        <w:spacing w:line="560" w:lineRule="exact"/>
        <w:ind w:firstLine="630" w:firstLineChars="196"/>
        <w:rPr>
          <w:rFonts w:ascii="Times New Roman" w:hAnsi="Times New Roman" w:eastAsia="楷体_GB2312" w:cs="Times New Roman"/>
          <w:kern w:val="2"/>
        </w:rPr>
      </w:pPr>
      <w:bookmarkStart w:id="36" w:name="_Toc112076264"/>
      <w:bookmarkStart w:id="37" w:name="_Toc111538268"/>
      <w:r>
        <w:rPr>
          <w:rFonts w:ascii="Times New Roman" w:hAnsi="Times New Roman" w:eastAsia="楷体_GB2312" w:cs="Times New Roman"/>
          <w:kern w:val="2"/>
        </w:rPr>
        <w:t>（六）信息化建设</w:t>
      </w:r>
      <w:bookmarkEnd w:id="36"/>
      <w:bookmarkEnd w:id="37"/>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及时更新继续教育学院网站，设置继续教育微信公众号，提供信息发布、查询、教学管理平台等相关端口及拓展空间。不断推进高等学历继续教学管理平台建设，新增在线考试功能和毕业论文管理功能。进一步方便学生进行线上学习、复习、考试和论文指导。学校根据平台数据及时掌握学生学习进度，保障学习质量。</w:t>
      </w:r>
    </w:p>
    <w:p>
      <w:pPr>
        <w:pStyle w:val="45"/>
        <w:keepNext w:val="0"/>
        <w:keepLines w:val="0"/>
        <w:spacing w:line="560" w:lineRule="exact"/>
        <w:ind w:firstLine="630" w:firstLineChars="196"/>
        <w:rPr>
          <w:rFonts w:ascii="Times New Roman" w:hAnsi="Times New Roman" w:eastAsia="楷体_GB2312" w:cs="Times New Roman"/>
          <w:kern w:val="2"/>
        </w:rPr>
      </w:pPr>
      <w:bookmarkStart w:id="38" w:name="_Toc111538269"/>
      <w:bookmarkStart w:id="39" w:name="_Toc112076265"/>
      <w:r>
        <w:rPr>
          <w:rFonts w:ascii="Times New Roman" w:hAnsi="Times New Roman" w:eastAsia="楷体_GB2312" w:cs="Times New Roman"/>
          <w:kern w:val="2"/>
        </w:rPr>
        <w:t>（七）办学设施条件</w:t>
      </w:r>
      <w:bookmarkEnd w:id="38"/>
      <w:bookmarkEnd w:id="39"/>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占地面积189.75万平方米，建筑面积153.02万平方米。具有150多个科研和教学实验室，图书馆共有藏书737.54万册，现有公用教室228间，含多媒体教室198间，智慧教室30余间。校内教室、体育馆、食堂、教学实验室、图书馆等资源均对继续教育开放共享。继续教育学院具有独立的办公场所，配有继续教育专用多媒体教室15间、智慧教室1间，可同时容纳1000余名学生进行课堂教学。</w:t>
      </w:r>
    </w:p>
    <w:p>
      <w:pPr>
        <w:pStyle w:val="45"/>
        <w:keepNext w:val="0"/>
        <w:keepLines w:val="0"/>
        <w:spacing w:line="560" w:lineRule="exact"/>
        <w:ind w:firstLine="630" w:firstLineChars="196"/>
        <w:rPr>
          <w:rFonts w:ascii="Times New Roman" w:hAnsi="Times New Roman" w:eastAsia="楷体_GB2312" w:cs="Times New Roman"/>
          <w:kern w:val="2"/>
        </w:rPr>
      </w:pPr>
      <w:bookmarkStart w:id="40" w:name="_Toc111538270"/>
      <w:bookmarkStart w:id="41" w:name="_Toc112076266"/>
      <w:r>
        <w:rPr>
          <w:rFonts w:ascii="Times New Roman" w:hAnsi="Times New Roman" w:eastAsia="楷体_GB2312" w:cs="Times New Roman"/>
          <w:kern w:val="2"/>
        </w:rPr>
        <w:t>（八）经费保障</w:t>
      </w:r>
      <w:bookmarkEnd w:id="40"/>
      <w:bookmarkEnd w:id="41"/>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继续教育办学收入和支出统一归口学校财务部门管理，收入和支出严格按照国家、省市和学校的有关规定执行。学校继续教育收入主要通过预算拨付，用于保障管理运营、教学资源建设、平台系统维护、设点单位工作费用等办学经费需求。</w:t>
      </w:r>
    </w:p>
    <w:p>
      <w:pPr>
        <w:pStyle w:val="3"/>
        <w:keepNext w:val="0"/>
        <w:keepLines w:val="0"/>
        <w:spacing w:before="0" w:after="0" w:line="560" w:lineRule="exact"/>
        <w:ind w:firstLine="640" w:firstLineChars="200"/>
        <w:rPr>
          <w:rFonts w:ascii="Times New Roman" w:hAnsi="Times New Roman" w:eastAsia="黑体" w:cs="Times New Roman"/>
          <w:b w:val="0"/>
        </w:rPr>
      </w:pPr>
      <w:bookmarkStart w:id="42" w:name="_Toc111538271"/>
      <w:bookmarkStart w:id="43" w:name="_Toc112076267"/>
      <w:r>
        <w:rPr>
          <w:rFonts w:ascii="Times New Roman" w:hAnsi="Times New Roman" w:eastAsia="黑体" w:cs="Times New Roman"/>
          <w:b w:val="0"/>
        </w:rPr>
        <w:t>五、社会贡献</w:t>
      </w:r>
      <w:bookmarkEnd w:id="42"/>
      <w:bookmarkEnd w:id="43"/>
    </w:p>
    <w:p>
      <w:pPr>
        <w:pStyle w:val="45"/>
        <w:keepNext w:val="0"/>
        <w:keepLines w:val="0"/>
        <w:spacing w:line="560" w:lineRule="exact"/>
        <w:ind w:firstLine="630" w:firstLineChars="196"/>
        <w:rPr>
          <w:rFonts w:ascii="Times New Roman" w:hAnsi="Times New Roman" w:eastAsia="楷体_GB2312" w:cs="Times New Roman"/>
          <w:kern w:val="2"/>
        </w:rPr>
      </w:pPr>
      <w:bookmarkStart w:id="44" w:name="_Toc112076268"/>
      <w:bookmarkStart w:id="45" w:name="_Toc111538272"/>
      <w:r>
        <w:rPr>
          <w:rFonts w:ascii="Times New Roman" w:hAnsi="Times New Roman" w:eastAsia="楷体_GB2312" w:cs="Times New Roman"/>
          <w:kern w:val="2"/>
        </w:rPr>
        <w:t>（一）继续教育服务国家战略、行业及经济社会发展与学习型社会建设情况</w:t>
      </w:r>
      <w:bookmarkEnd w:id="44"/>
      <w:bookmarkEnd w:id="45"/>
    </w:p>
    <w:p>
      <w:pPr>
        <w:adjustRightInd w:val="0"/>
        <w:snapToGrid w:val="0"/>
        <w:spacing w:line="560" w:lineRule="exact"/>
        <w:ind w:firstLine="640" w:firstLineChars="200"/>
        <w:jc w:val="left"/>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1.服务海洋强国战略</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进一步满足现代化装备维护保障工作所需的专业技能知识更新需求，学校将多年来在导航制导与控制、水声工程、水下机器人等领域的相关研究成果转化为装备保障企业急需的技术培训课程，举办了装备保障企业技术人员技能提升培训班，帮助企业技术人员在相关装备保障方面提升专业技能，为服务一线部队装备保障能力建设提供支撑，为建设海洋强国战略做出应有贡献。</w:t>
      </w:r>
    </w:p>
    <w:p>
      <w:pPr>
        <w:adjustRightInd w:val="0"/>
        <w:snapToGrid w:val="0"/>
        <w:spacing w:line="560" w:lineRule="exact"/>
        <w:ind w:firstLine="640" w:firstLineChars="200"/>
        <w:jc w:val="left"/>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2.服务行业发展需求</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学校紧抓船舶数字化、智能化、绿色化转型契机，积极推动船舶工业新技术、新知识的培训工作，通过 “科创中国”造船科技服务活动，面向船舶与海洋工程行业，开展了以智慧海洋与智能海洋装备为代表的专题培训。依托核动力装置、核安全与仿真等优势科研方向，面向核工业集团、大连船舶重工集团等国有企事业单位开展系列专题培训。凝练学校的智能船舶、船舶智能制造、新一代信息通信技术、数控机床和工业机器人、网络和信息安全等领域的优势技术，形成职业能力提升系列培训课程，支撑工信部工业和信息化职业技能提升行动，成为工信部工业和信息化职业技能提升行动会员单位。累计为各企业服务培训近2000人次。</w:t>
      </w:r>
    </w:p>
    <w:p>
      <w:pPr>
        <w:adjustRightInd w:val="0"/>
        <w:snapToGrid w:val="0"/>
        <w:spacing w:line="560" w:lineRule="exact"/>
        <w:ind w:firstLine="640" w:firstLineChars="200"/>
        <w:jc w:val="left"/>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 服务区域经济社会发展</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紧密结合地方干部人才队伍建设的需求，主动对接和承办各级各类干部教育培训项目，面向党政领导干部开展党史学习教育系列培训。面向黑龙江省退役军人群体，开发就业岗位技能系列培训课程并获批黑龙江省退役军人定点承训机构。面向企业用工需求，推进校企联合订单式培养项目，为青岛双星集团培养的首批学员已进入实习实训阶段。面向海南省住建领域，不断提升土木工程、建筑环境与能源应用工程等专业的高等学历继续教育人才培养质量，毕业生受到海南省住建厅的高度认可。为区域经济发展培养各类专业人才1000余人。</w:t>
      </w:r>
    </w:p>
    <w:p>
      <w:pPr>
        <w:pStyle w:val="45"/>
        <w:keepNext w:val="0"/>
        <w:keepLines w:val="0"/>
        <w:spacing w:line="560" w:lineRule="exact"/>
        <w:ind w:firstLine="630" w:firstLineChars="196"/>
        <w:rPr>
          <w:rFonts w:ascii="Times New Roman" w:hAnsi="Times New Roman" w:eastAsia="楷体_GB2312" w:cs="Times New Roman"/>
          <w:kern w:val="2"/>
        </w:rPr>
      </w:pPr>
      <w:bookmarkStart w:id="46" w:name="_Toc111538273"/>
      <w:bookmarkStart w:id="47" w:name="_Toc112076269"/>
      <w:r>
        <w:rPr>
          <w:rFonts w:ascii="Times New Roman" w:hAnsi="Times New Roman" w:eastAsia="楷体_GB2312" w:cs="Times New Roman"/>
          <w:kern w:val="2"/>
        </w:rPr>
        <w:t>（二）资源开放服务情况</w:t>
      </w:r>
      <w:bookmarkEnd w:id="46"/>
      <w:bookmarkEnd w:id="47"/>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依托建设的黑龙江省省级网络学习考核平台，将197门优质课程资源向省内高校开放共享并提供学习支持服务。学校继续教育学院专用的智慧教室承担了黑龙江自学考试委员会机考工作，服务全省高等教育自学考试考生万余人次。</w:t>
      </w:r>
    </w:p>
    <w:p>
      <w:pPr>
        <w:pStyle w:val="3"/>
        <w:keepNext w:val="0"/>
        <w:keepLines w:val="0"/>
        <w:spacing w:before="0" w:after="0" w:line="560" w:lineRule="exact"/>
        <w:ind w:firstLine="640" w:firstLineChars="200"/>
        <w:rPr>
          <w:rFonts w:ascii="Times New Roman" w:hAnsi="Times New Roman" w:eastAsia="黑体" w:cs="Times New Roman"/>
          <w:b w:val="0"/>
        </w:rPr>
      </w:pPr>
      <w:bookmarkStart w:id="48" w:name="_Toc112076270"/>
      <w:bookmarkStart w:id="49" w:name="_Toc111538274"/>
      <w:r>
        <w:rPr>
          <w:rFonts w:ascii="Times New Roman" w:hAnsi="Times New Roman" w:eastAsia="黑体" w:cs="Times New Roman"/>
          <w:b w:val="0"/>
        </w:rPr>
        <w:t>六、特色创新</w:t>
      </w:r>
      <w:bookmarkEnd w:id="48"/>
      <w:bookmarkEnd w:id="49"/>
    </w:p>
    <w:p>
      <w:pPr>
        <w:pStyle w:val="45"/>
        <w:keepNext w:val="0"/>
        <w:keepLines w:val="0"/>
        <w:spacing w:line="560" w:lineRule="exact"/>
        <w:ind w:firstLine="630" w:firstLineChars="196"/>
        <w:rPr>
          <w:rFonts w:ascii="Times New Roman" w:hAnsi="Times New Roman" w:eastAsia="楷体_GB2312" w:cs="Times New Roman"/>
          <w:kern w:val="2"/>
        </w:rPr>
      </w:pPr>
      <w:bookmarkStart w:id="50" w:name="_Toc111538275"/>
      <w:bookmarkStart w:id="51" w:name="_Toc112076271"/>
      <w:r>
        <w:rPr>
          <w:rFonts w:ascii="Times New Roman" w:hAnsi="Times New Roman" w:eastAsia="楷体_GB2312" w:cs="Times New Roman"/>
          <w:kern w:val="2"/>
        </w:rPr>
        <w:t>（一）实践特色与模式创新</w:t>
      </w:r>
      <w:bookmarkEnd w:id="50"/>
      <w:bookmarkEnd w:id="51"/>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紧盯国家新职业发展带来的技能培训需求，结合学校优势技术凝练培训课程。整合学校优质资源，凝练培训课程74门，涵盖了党政培训、机械制造与材料、经济与管理、人文社会科学、新一代信息技术等多个领域，课程体系加强实践教学环节，融入哈军工精神、传承红色文化，利用学校的哈军工纪念馆、海洋文化馆和船舶博物馆等科普基地开展实践教学活动。开发5个专题共计23门课程筹备开展在线培训，经工信部考试中心评审全部入选了《工业和信息化职业技能提升培训指导目录》，助力制造强国和网络强国的建设工作。</w:t>
      </w:r>
    </w:p>
    <w:p>
      <w:pPr>
        <w:pStyle w:val="45"/>
        <w:keepNext w:val="0"/>
        <w:keepLines w:val="0"/>
        <w:spacing w:line="560" w:lineRule="exact"/>
        <w:ind w:firstLine="630" w:firstLineChars="196"/>
        <w:rPr>
          <w:rFonts w:ascii="Times New Roman" w:hAnsi="Times New Roman" w:eastAsia="楷体_GB2312" w:cs="Times New Roman"/>
          <w:kern w:val="2"/>
        </w:rPr>
      </w:pPr>
      <w:bookmarkStart w:id="52" w:name="_Toc111538276"/>
      <w:bookmarkStart w:id="53" w:name="_Toc112076272"/>
      <w:r>
        <w:rPr>
          <w:rFonts w:ascii="Times New Roman" w:hAnsi="Times New Roman" w:eastAsia="楷体_GB2312" w:cs="Times New Roman"/>
          <w:kern w:val="2"/>
        </w:rPr>
        <w:t>（二）国际交流与合作情况</w:t>
      </w:r>
      <w:bookmarkEnd w:id="52"/>
      <w:bookmarkEnd w:id="53"/>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引进国际优质教育资源，搭建国际化育人平台，拓展学生国际化视野。2013年经教育部国际司及英国大使馆审核，成立哈尔滨工程大学A-level国际课程中心、雅思考试中心、托福考试中心，共计培养出国留学学生300余人次，学生均进入全英前50的高校学习。2021年，国外高校录取率达100%，培养质量受到外国高校的高度认可。</w:t>
      </w:r>
    </w:p>
    <w:p>
      <w:pPr>
        <w:pStyle w:val="45"/>
        <w:keepNext w:val="0"/>
        <w:keepLines w:val="0"/>
        <w:spacing w:line="560" w:lineRule="exact"/>
        <w:ind w:firstLine="630" w:firstLineChars="196"/>
        <w:rPr>
          <w:rFonts w:ascii="Times New Roman" w:hAnsi="Times New Roman" w:eastAsia="楷体_GB2312" w:cs="Times New Roman"/>
          <w:kern w:val="2"/>
        </w:rPr>
      </w:pPr>
      <w:bookmarkStart w:id="54" w:name="_Toc111538277"/>
      <w:bookmarkStart w:id="55" w:name="_Toc112076273"/>
      <w:r>
        <w:rPr>
          <w:rFonts w:ascii="Times New Roman" w:hAnsi="Times New Roman" w:eastAsia="楷体_GB2312" w:cs="Times New Roman"/>
          <w:kern w:val="2"/>
        </w:rPr>
        <w:t>（三）教育教学研究成果情况</w:t>
      </w:r>
      <w:bookmarkEnd w:id="54"/>
      <w:bookmarkEnd w:id="55"/>
    </w:p>
    <w:p>
      <w:pPr>
        <w:adjustRightInd w:val="0"/>
        <w:snapToGrid w:val="0"/>
        <w:spacing w:line="560" w:lineRule="exact"/>
        <w:ind w:firstLine="632" w:firstLineChars="200"/>
        <w:textAlignment w:val="center"/>
        <w:rPr>
          <w:rFonts w:ascii="Times New Roman" w:hAnsi="Times New Roman" w:eastAsia="仿宋_GB2312" w:cs="Times New Roman"/>
          <w:spacing w:val="-2"/>
          <w:kern w:val="0"/>
          <w:sz w:val="32"/>
          <w:szCs w:val="32"/>
        </w:rPr>
      </w:pPr>
      <w:r>
        <w:rPr>
          <w:rFonts w:ascii="Times New Roman" w:hAnsi="Times New Roman" w:eastAsia="仿宋_GB2312" w:cs="Times New Roman"/>
          <w:spacing w:val="-2"/>
          <w:kern w:val="0"/>
          <w:sz w:val="32"/>
          <w:szCs w:val="32"/>
        </w:rPr>
        <w:t>申报并获得1项中国高等教育学会自学考试分会重点课题：“自学考试多元化考核评价体系研究”。由学校智能学院刘志林主编的《无人系统智能控制技术与应用》、苏丽主编的《船舶智能航行技术与应用》两本教材获得工信部“十四五”职业教育规划教材。</w:t>
      </w:r>
    </w:p>
    <w:p>
      <w:pPr>
        <w:pStyle w:val="3"/>
        <w:keepNext w:val="0"/>
        <w:keepLines w:val="0"/>
        <w:spacing w:before="0" w:after="0" w:line="560" w:lineRule="exact"/>
        <w:ind w:firstLine="640" w:firstLineChars="200"/>
        <w:rPr>
          <w:rFonts w:ascii="Times New Roman" w:hAnsi="Times New Roman" w:eastAsia="黑体" w:cs="Times New Roman"/>
          <w:b w:val="0"/>
        </w:rPr>
      </w:pPr>
      <w:bookmarkStart w:id="56" w:name="_Toc112076274"/>
      <w:bookmarkStart w:id="57" w:name="_Toc111538278"/>
      <w:r>
        <w:rPr>
          <w:rFonts w:ascii="Times New Roman" w:hAnsi="Times New Roman" w:eastAsia="黑体" w:cs="Times New Roman"/>
          <w:b w:val="0"/>
        </w:rPr>
        <w:t>七、问题挑战</w:t>
      </w:r>
      <w:bookmarkEnd w:id="56"/>
      <w:bookmarkEnd w:id="57"/>
    </w:p>
    <w:p>
      <w:pPr>
        <w:pStyle w:val="45"/>
        <w:keepNext w:val="0"/>
        <w:keepLines w:val="0"/>
        <w:spacing w:line="560" w:lineRule="exact"/>
        <w:ind w:firstLine="630" w:firstLineChars="196"/>
        <w:rPr>
          <w:rFonts w:ascii="Times New Roman" w:hAnsi="Times New Roman" w:eastAsia="楷体_GB2312" w:cs="Times New Roman"/>
          <w:kern w:val="2"/>
        </w:rPr>
      </w:pPr>
      <w:bookmarkStart w:id="58" w:name="_Toc111538279"/>
      <w:bookmarkStart w:id="59" w:name="_Toc112076275"/>
      <w:r>
        <w:rPr>
          <w:rFonts w:ascii="Times New Roman" w:hAnsi="Times New Roman" w:eastAsia="楷体_GB2312" w:cs="Times New Roman"/>
          <w:kern w:val="2"/>
        </w:rPr>
        <w:t>（一）面对的新挑战、新需求</w:t>
      </w:r>
      <w:bookmarkEnd w:id="58"/>
      <w:bookmarkEnd w:id="59"/>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1.高等继续教育处于全面改革期</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教育部相继出台改革性文件，对高等学历继续教育和非学历教育进行全面改革。今后举办高等继续教育的高校要对办学方式、培养模式等方面进行全面调整，以适应新的形势变化，由此带来一定的不可预见性。</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2.继续教育服务对象多元化需求带来的挑战</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继续教育对象群体的多元化需求，对学校在资源配置、师资队伍建设、课程设置、教学管理模式等方面提出了新需求。继续教育如何构建开放、高效、优质发展的终身教育体制机制、如何建立起满足个性化学习需求，搭建人才成长“立交桥”，是继续教育面临的重大挑战。</w:t>
      </w:r>
    </w:p>
    <w:p>
      <w:pPr>
        <w:pStyle w:val="45"/>
        <w:keepNext w:val="0"/>
        <w:keepLines w:val="0"/>
        <w:spacing w:line="560" w:lineRule="exact"/>
        <w:ind w:firstLine="630" w:firstLineChars="196"/>
        <w:rPr>
          <w:rFonts w:ascii="Times New Roman" w:hAnsi="Times New Roman" w:eastAsia="楷体_GB2312" w:cs="Times New Roman"/>
          <w:kern w:val="2"/>
        </w:rPr>
      </w:pPr>
      <w:bookmarkStart w:id="60" w:name="_Toc111538280"/>
      <w:bookmarkStart w:id="61" w:name="_Toc112076276"/>
      <w:r>
        <w:rPr>
          <w:rFonts w:ascii="Times New Roman" w:hAnsi="Times New Roman" w:eastAsia="楷体_GB2312" w:cs="Times New Roman"/>
          <w:kern w:val="2"/>
        </w:rPr>
        <w:t>（二）存在的主要问题及原因</w:t>
      </w:r>
      <w:bookmarkEnd w:id="60"/>
      <w:bookmarkEnd w:id="61"/>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1.继续教育核心资源建设不足，课程建设和教材建设更新不及时。建设一批高质量课程和教材是提高学校继续教育工作水平的重要内容，需要长期坚持。</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2.建立了高等继续教育的制度体系，但相关管理制度建设不够系统、不够完善，部分现行制度无法有效适应高等继续教育发展的新形势、新变化，需要不断细化。</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3.管理队伍建设还不能很好地适应新发展要求，专业化程度不够高。继续教育管理人员管理观念未能与时俱进，系统培训不够，需要持续改进。</w:t>
      </w:r>
    </w:p>
    <w:p>
      <w:pPr>
        <w:pStyle w:val="3"/>
        <w:keepNext w:val="0"/>
        <w:keepLines w:val="0"/>
        <w:spacing w:before="0" w:after="0" w:line="560" w:lineRule="exact"/>
        <w:ind w:firstLine="640" w:firstLineChars="200"/>
        <w:rPr>
          <w:rFonts w:ascii="Times New Roman" w:hAnsi="Times New Roman" w:eastAsia="黑体" w:cs="Times New Roman"/>
          <w:b w:val="0"/>
        </w:rPr>
      </w:pPr>
      <w:bookmarkStart w:id="62" w:name="_Toc111538281"/>
      <w:bookmarkStart w:id="63" w:name="_Toc112076277"/>
      <w:r>
        <w:rPr>
          <w:rFonts w:ascii="Times New Roman" w:hAnsi="Times New Roman" w:eastAsia="黑体" w:cs="Times New Roman"/>
          <w:b w:val="0"/>
        </w:rPr>
        <w:t>八、对策建议</w:t>
      </w:r>
      <w:bookmarkEnd w:id="62"/>
      <w:bookmarkEnd w:id="63"/>
    </w:p>
    <w:p>
      <w:pPr>
        <w:pStyle w:val="45"/>
        <w:keepNext w:val="0"/>
        <w:keepLines w:val="0"/>
        <w:spacing w:line="560" w:lineRule="exact"/>
        <w:ind w:firstLine="630" w:firstLineChars="196"/>
        <w:rPr>
          <w:rFonts w:ascii="Times New Roman" w:hAnsi="Times New Roman" w:eastAsia="楷体_GB2312" w:cs="Times New Roman"/>
          <w:kern w:val="2"/>
        </w:rPr>
      </w:pPr>
      <w:bookmarkStart w:id="64" w:name="_Toc111538282"/>
      <w:bookmarkStart w:id="65" w:name="_Toc112076278"/>
      <w:r>
        <w:rPr>
          <w:rFonts w:ascii="Times New Roman" w:hAnsi="Times New Roman" w:eastAsia="楷体_GB2312" w:cs="Times New Roman"/>
          <w:kern w:val="2"/>
        </w:rPr>
        <w:t>（一）发展对策</w:t>
      </w:r>
      <w:bookmarkEnd w:id="64"/>
      <w:bookmarkEnd w:id="65"/>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习近平新时代中国特色社会主义思想为指导，深入贯彻党的十九大和十九届历次全会精神，落实立德树人根本任务。遵循继续教育规律，适应成人学习者特点，发挥学校学科优势及社会化服务职能，全面提升船海领域和区域经济发展对应用型人才需求的育人能力。</w:t>
      </w:r>
    </w:p>
    <w:p>
      <w:pPr>
        <w:pStyle w:val="45"/>
        <w:keepNext w:val="0"/>
        <w:keepLines w:val="0"/>
        <w:spacing w:line="560" w:lineRule="exact"/>
        <w:ind w:firstLine="630" w:firstLineChars="196"/>
        <w:rPr>
          <w:rFonts w:ascii="Times New Roman" w:hAnsi="Times New Roman" w:eastAsia="楷体_GB2312" w:cs="Times New Roman"/>
          <w:kern w:val="2"/>
        </w:rPr>
      </w:pPr>
      <w:bookmarkStart w:id="66" w:name="_Toc112076279"/>
      <w:bookmarkStart w:id="67" w:name="_Toc111538283"/>
      <w:r>
        <w:rPr>
          <w:rFonts w:ascii="Times New Roman" w:hAnsi="Times New Roman" w:eastAsia="楷体_GB2312" w:cs="Times New Roman"/>
          <w:kern w:val="2"/>
        </w:rPr>
        <w:t>（二）目标和举措</w:t>
      </w:r>
      <w:bookmarkEnd w:id="66"/>
      <w:bookmarkEnd w:id="67"/>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坚守教育初心，培养拥护中国共产党和新时代中国特色社会主义制度、经济社会发展需要的应用型人才。聚焦船海及相关行业领域，主动融入区域经济建设主战场，完善管理制度体系、优化专业设置、丰富教学资源、强化师资和管理队伍建设，坚持打造以工为主、工管结合、应用性强的专业体系。针对新兴技术产业发展趋势，充分发挥学校作为行业特色型大学的特殊优势，为区域经济社会发展和行业企业发展服务。</w:t>
      </w:r>
    </w:p>
    <w:p>
      <w:pPr>
        <w:pStyle w:val="45"/>
        <w:keepNext w:val="0"/>
        <w:keepLines w:val="0"/>
        <w:spacing w:line="560" w:lineRule="exact"/>
        <w:ind w:firstLine="630" w:firstLineChars="196"/>
        <w:rPr>
          <w:rFonts w:ascii="Times New Roman" w:hAnsi="Times New Roman" w:eastAsia="楷体_GB2312" w:cs="Times New Roman"/>
          <w:kern w:val="2"/>
        </w:rPr>
      </w:pPr>
      <w:bookmarkStart w:id="68" w:name="_Toc111538284"/>
      <w:bookmarkStart w:id="69" w:name="_Toc112076280"/>
      <w:r>
        <w:rPr>
          <w:rFonts w:ascii="Times New Roman" w:hAnsi="Times New Roman" w:eastAsia="楷体_GB2312" w:cs="Times New Roman"/>
          <w:kern w:val="2"/>
        </w:rPr>
        <w:t>（三）政策建议</w:t>
      </w:r>
      <w:bookmarkEnd w:id="68"/>
      <w:bookmarkEnd w:id="69"/>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1.建议进一步加强高等继续教育交流合作平台建设。建议进一步加强对高等继续教育的专业指导，搭建高校交流合作平台，促进高校之间继续教育工作的交流与合作。</w:t>
      </w:r>
    </w:p>
    <w:p>
      <w:pPr>
        <w:adjustRightInd w:val="0"/>
        <w:snapToGrid w:val="0"/>
        <w:spacing w:line="560" w:lineRule="exact"/>
        <w:ind w:firstLine="640" w:firstLineChars="200"/>
        <w:textAlignment w:val="center"/>
        <w:rPr>
          <w:rFonts w:ascii="Times New Roman" w:hAnsi="Times New Roman" w:eastAsia="仿宋_GB2312" w:cs="Times New Roman"/>
          <w:color w:val="FF0000"/>
          <w:lang w:bidi="ar"/>
        </w:rPr>
      </w:pPr>
      <w:r>
        <w:rPr>
          <w:rFonts w:ascii="Times New Roman" w:hAnsi="Times New Roman" w:eastAsia="仿宋_GB2312" w:cs="Times New Roman"/>
          <w:kern w:val="0"/>
          <w:sz w:val="32"/>
          <w:szCs w:val="32"/>
        </w:rPr>
        <w:t>2.建议有关部门结合高等学历继续教育发展趋势，适当提高学历继续教育收费标准，增加高校办好继续教育保障经费。</w:t>
      </w:r>
    </w:p>
    <w:sectPr>
      <w:footerReference r:id="rId4" w:type="first"/>
      <w:footerReference r:id="rId3" w:type="default"/>
      <w:pgSz w:w="11900" w:h="16840"/>
      <w:pgMar w:top="1418" w:right="1304" w:bottom="1418" w:left="1588" w:header="851" w:footer="992" w:gutter="0"/>
      <w:pgNumType w:start="1"/>
      <w:cols w:space="720" w:num="1"/>
      <w:titlePg/>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微软雅黑"/>
    <w:panose1 w:val="00000000000000000000"/>
    <w:charset w:val="50"/>
    <w:family w:val="auto"/>
    <w:pitch w:val="default"/>
    <w:sig w:usb0="00000000" w:usb1="00000000" w:usb2="00000010" w:usb3="00000000" w:csb0="003E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5093222"/>
      <w:docPartObj>
        <w:docPartGallery w:val="AutoText"/>
      </w:docPartObj>
    </w:sdtPr>
    <w:sdtEndPr>
      <w:rPr>
        <w:rFonts w:ascii="Times New Roman" w:hAnsi="Times New Roman" w:cs="Times New Roman"/>
        <w:sz w:val="24"/>
        <w:szCs w:val="24"/>
      </w:rPr>
    </w:sdtEndPr>
    <w:sdtContent>
      <w:p>
        <w:pPr>
          <w:pStyle w:val="13"/>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w:t>
        </w:r>
        <w:r>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871008"/>
      <w:docPartObj>
        <w:docPartGallery w:val="AutoText"/>
      </w:docPartObj>
    </w:sdtPr>
    <w:sdtEndPr>
      <w:rPr>
        <w:sz w:val="24"/>
        <w:szCs w:val="24"/>
      </w:rPr>
    </w:sdtEndPr>
    <w:sdtContent>
      <w:p>
        <w:pPr>
          <w:pStyle w:val="13"/>
          <w:jc w:val="center"/>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4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mY2M2NjIxMzFiODgwNzA3NjA4NTQyZTVmMjQwZjgifQ=="/>
  </w:docVars>
  <w:rsids>
    <w:rsidRoot w:val="00903850"/>
    <w:rsid w:val="00000DB8"/>
    <w:rsid w:val="00001A39"/>
    <w:rsid w:val="00001FC6"/>
    <w:rsid w:val="00005897"/>
    <w:rsid w:val="00005C2A"/>
    <w:rsid w:val="000068DE"/>
    <w:rsid w:val="00006D30"/>
    <w:rsid w:val="000108F4"/>
    <w:rsid w:val="00012288"/>
    <w:rsid w:val="00013B73"/>
    <w:rsid w:val="000145C1"/>
    <w:rsid w:val="0001722D"/>
    <w:rsid w:val="000205FF"/>
    <w:rsid w:val="000220BF"/>
    <w:rsid w:val="00022A62"/>
    <w:rsid w:val="00023352"/>
    <w:rsid w:val="00023D9E"/>
    <w:rsid w:val="0002463A"/>
    <w:rsid w:val="00027688"/>
    <w:rsid w:val="0003091F"/>
    <w:rsid w:val="00037049"/>
    <w:rsid w:val="00037F57"/>
    <w:rsid w:val="000404BB"/>
    <w:rsid w:val="00041478"/>
    <w:rsid w:val="00042B29"/>
    <w:rsid w:val="000503F2"/>
    <w:rsid w:val="00051EB5"/>
    <w:rsid w:val="00052EB8"/>
    <w:rsid w:val="00053940"/>
    <w:rsid w:val="00054CF4"/>
    <w:rsid w:val="0005504F"/>
    <w:rsid w:val="00055406"/>
    <w:rsid w:val="000557ED"/>
    <w:rsid w:val="00057E91"/>
    <w:rsid w:val="000655BE"/>
    <w:rsid w:val="00065B63"/>
    <w:rsid w:val="0006779C"/>
    <w:rsid w:val="00071D1F"/>
    <w:rsid w:val="000720F6"/>
    <w:rsid w:val="0007240E"/>
    <w:rsid w:val="00074D08"/>
    <w:rsid w:val="00075773"/>
    <w:rsid w:val="00075F34"/>
    <w:rsid w:val="000764FC"/>
    <w:rsid w:val="00076847"/>
    <w:rsid w:val="00076E6B"/>
    <w:rsid w:val="000775F9"/>
    <w:rsid w:val="00080091"/>
    <w:rsid w:val="00080B5E"/>
    <w:rsid w:val="00082BF5"/>
    <w:rsid w:val="000830F3"/>
    <w:rsid w:val="00084D9D"/>
    <w:rsid w:val="00084FBB"/>
    <w:rsid w:val="00090005"/>
    <w:rsid w:val="0009019A"/>
    <w:rsid w:val="000920B2"/>
    <w:rsid w:val="00093D76"/>
    <w:rsid w:val="000A319C"/>
    <w:rsid w:val="000A3249"/>
    <w:rsid w:val="000A507C"/>
    <w:rsid w:val="000A5A63"/>
    <w:rsid w:val="000B4D3C"/>
    <w:rsid w:val="000B52B6"/>
    <w:rsid w:val="000B5350"/>
    <w:rsid w:val="000C079D"/>
    <w:rsid w:val="000C086B"/>
    <w:rsid w:val="000C1A85"/>
    <w:rsid w:val="000C219F"/>
    <w:rsid w:val="000C2601"/>
    <w:rsid w:val="000C4013"/>
    <w:rsid w:val="000C5B4C"/>
    <w:rsid w:val="000C6928"/>
    <w:rsid w:val="000C6A13"/>
    <w:rsid w:val="000D262B"/>
    <w:rsid w:val="000D4144"/>
    <w:rsid w:val="000E14BA"/>
    <w:rsid w:val="000E528E"/>
    <w:rsid w:val="000F0095"/>
    <w:rsid w:val="000F25DB"/>
    <w:rsid w:val="000F3610"/>
    <w:rsid w:val="001003B3"/>
    <w:rsid w:val="0010049F"/>
    <w:rsid w:val="00100A94"/>
    <w:rsid w:val="00100B35"/>
    <w:rsid w:val="00101D27"/>
    <w:rsid w:val="0010395B"/>
    <w:rsid w:val="00105C0A"/>
    <w:rsid w:val="00105E8F"/>
    <w:rsid w:val="00107210"/>
    <w:rsid w:val="001074F1"/>
    <w:rsid w:val="00107D01"/>
    <w:rsid w:val="001108C8"/>
    <w:rsid w:val="00110DF6"/>
    <w:rsid w:val="001111D0"/>
    <w:rsid w:val="0011249D"/>
    <w:rsid w:val="0011535A"/>
    <w:rsid w:val="00115F04"/>
    <w:rsid w:val="001167A6"/>
    <w:rsid w:val="0012039A"/>
    <w:rsid w:val="001316AE"/>
    <w:rsid w:val="001317C1"/>
    <w:rsid w:val="001334D0"/>
    <w:rsid w:val="00133545"/>
    <w:rsid w:val="001349F3"/>
    <w:rsid w:val="001352F2"/>
    <w:rsid w:val="001356A5"/>
    <w:rsid w:val="00135907"/>
    <w:rsid w:val="00135967"/>
    <w:rsid w:val="00137837"/>
    <w:rsid w:val="001430FE"/>
    <w:rsid w:val="00143F5A"/>
    <w:rsid w:val="00144920"/>
    <w:rsid w:val="00144BCF"/>
    <w:rsid w:val="00145658"/>
    <w:rsid w:val="00146619"/>
    <w:rsid w:val="00147C85"/>
    <w:rsid w:val="00150BD2"/>
    <w:rsid w:val="001522A0"/>
    <w:rsid w:val="001529E0"/>
    <w:rsid w:val="001533D2"/>
    <w:rsid w:val="001557BE"/>
    <w:rsid w:val="00156868"/>
    <w:rsid w:val="00157103"/>
    <w:rsid w:val="00161BB0"/>
    <w:rsid w:val="001627F7"/>
    <w:rsid w:val="0016419C"/>
    <w:rsid w:val="00164F1C"/>
    <w:rsid w:val="001667E8"/>
    <w:rsid w:val="00166DBD"/>
    <w:rsid w:val="00171185"/>
    <w:rsid w:val="0017192B"/>
    <w:rsid w:val="00171DED"/>
    <w:rsid w:val="00175597"/>
    <w:rsid w:val="00175BDA"/>
    <w:rsid w:val="001769B7"/>
    <w:rsid w:val="00182256"/>
    <w:rsid w:val="00182401"/>
    <w:rsid w:val="00183F86"/>
    <w:rsid w:val="00184055"/>
    <w:rsid w:val="001840F9"/>
    <w:rsid w:val="0018668A"/>
    <w:rsid w:val="0018750D"/>
    <w:rsid w:val="00192EC7"/>
    <w:rsid w:val="0019342F"/>
    <w:rsid w:val="001941F4"/>
    <w:rsid w:val="0019464C"/>
    <w:rsid w:val="00196942"/>
    <w:rsid w:val="00197882"/>
    <w:rsid w:val="001A1181"/>
    <w:rsid w:val="001A28E1"/>
    <w:rsid w:val="001A3196"/>
    <w:rsid w:val="001A4251"/>
    <w:rsid w:val="001A43C5"/>
    <w:rsid w:val="001A75D8"/>
    <w:rsid w:val="001A7BE0"/>
    <w:rsid w:val="001B22E5"/>
    <w:rsid w:val="001B40E0"/>
    <w:rsid w:val="001B5A5B"/>
    <w:rsid w:val="001B681B"/>
    <w:rsid w:val="001B6C4C"/>
    <w:rsid w:val="001C06CD"/>
    <w:rsid w:val="001C0D7C"/>
    <w:rsid w:val="001C365D"/>
    <w:rsid w:val="001C637A"/>
    <w:rsid w:val="001C763C"/>
    <w:rsid w:val="001C7721"/>
    <w:rsid w:val="001C79C9"/>
    <w:rsid w:val="001D3344"/>
    <w:rsid w:val="001D4A3A"/>
    <w:rsid w:val="001D52B3"/>
    <w:rsid w:val="001D681C"/>
    <w:rsid w:val="001D69E8"/>
    <w:rsid w:val="001D73DA"/>
    <w:rsid w:val="001D7F70"/>
    <w:rsid w:val="001E0C69"/>
    <w:rsid w:val="001E1099"/>
    <w:rsid w:val="001E1798"/>
    <w:rsid w:val="001E34A6"/>
    <w:rsid w:val="001E38F2"/>
    <w:rsid w:val="001E4F79"/>
    <w:rsid w:val="001E62BC"/>
    <w:rsid w:val="001E62CD"/>
    <w:rsid w:val="001E644F"/>
    <w:rsid w:val="001F07DE"/>
    <w:rsid w:val="001F0D53"/>
    <w:rsid w:val="001F12C1"/>
    <w:rsid w:val="001F1464"/>
    <w:rsid w:val="001F229E"/>
    <w:rsid w:val="001F4066"/>
    <w:rsid w:val="001F6A6B"/>
    <w:rsid w:val="00200E57"/>
    <w:rsid w:val="00207EC1"/>
    <w:rsid w:val="0021108C"/>
    <w:rsid w:val="0021129F"/>
    <w:rsid w:val="00211965"/>
    <w:rsid w:val="00212060"/>
    <w:rsid w:val="00212395"/>
    <w:rsid w:val="0021409D"/>
    <w:rsid w:val="002149B3"/>
    <w:rsid w:val="0021557C"/>
    <w:rsid w:val="00216073"/>
    <w:rsid w:val="0021691D"/>
    <w:rsid w:val="002177B9"/>
    <w:rsid w:val="002178FC"/>
    <w:rsid w:val="00220586"/>
    <w:rsid w:val="00220992"/>
    <w:rsid w:val="00220AF5"/>
    <w:rsid w:val="00221647"/>
    <w:rsid w:val="0022217E"/>
    <w:rsid w:val="0022255E"/>
    <w:rsid w:val="002247A9"/>
    <w:rsid w:val="00227983"/>
    <w:rsid w:val="00230C09"/>
    <w:rsid w:val="002311F5"/>
    <w:rsid w:val="002335C8"/>
    <w:rsid w:val="00236777"/>
    <w:rsid w:val="00237B27"/>
    <w:rsid w:val="00244246"/>
    <w:rsid w:val="00244339"/>
    <w:rsid w:val="00246755"/>
    <w:rsid w:val="00246C3B"/>
    <w:rsid w:val="002470AE"/>
    <w:rsid w:val="00247C02"/>
    <w:rsid w:val="002506BD"/>
    <w:rsid w:val="0025097E"/>
    <w:rsid w:val="0025193C"/>
    <w:rsid w:val="0025325E"/>
    <w:rsid w:val="00253698"/>
    <w:rsid w:val="00254449"/>
    <w:rsid w:val="00255688"/>
    <w:rsid w:val="00257ED0"/>
    <w:rsid w:val="002601B5"/>
    <w:rsid w:val="002633DE"/>
    <w:rsid w:val="0026430A"/>
    <w:rsid w:val="00265534"/>
    <w:rsid w:val="00266CE4"/>
    <w:rsid w:val="002677D7"/>
    <w:rsid w:val="00270831"/>
    <w:rsid w:val="00271072"/>
    <w:rsid w:val="00273BDF"/>
    <w:rsid w:val="00275B26"/>
    <w:rsid w:val="00277A3D"/>
    <w:rsid w:val="002805C1"/>
    <w:rsid w:val="00280CAC"/>
    <w:rsid w:val="00290EA4"/>
    <w:rsid w:val="002943C1"/>
    <w:rsid w:val="002966A0"/>
    <w:rsid w:val="00296DEE"/>
    <w:rsid w:val="002A12A7"/>
    <w:rsid w:val="002A34F8"/>
    <w:rsid w:val="002A3BF3"/>
    <w:rsid w:val="002A3C8D"/>
    <w:rsid w:val="002B19F9"/>
    <w:rsid w:val="002B1EDE"/>
    <w:rsid w:val="002B568E"/>
    <w:rsid w:val="002B5ADA"/>
    <w:rsid w:val="002C09E9"/>
    <w:rsid w:val="002C7BDC"/>
    <w:rsid w:val="002D19B7"/>
    <w:rsid w:val="002D3BF8"/>
    <w:rsid w:val="002D4C8E"/>
    <w:rsid w:val="002D5762"/>
    <w:rsid w:val="002D687C"/>
    <w:rsid w:val="002D7D38"/>
    <w:rsid w:val="002E256D"/>
    <w:rsid w:val="002E2570"/>
    <w:rsid w:val="002E6552"/>
    <w:rsid w:val="002E7482"/>
    <w:rsid w:val="002E78BB"/>
    <w:rsid w:val="002F0CE4"/>
    <w:rsid w:val="002F1F1C"/>
    <w:rsid w:val="002F38F4"/>
    <w:rsid w:val="002F510E"/>
    <w:rsid w:val="00306733"/>
    <w:rsid w:val="00311FBD"/>
    <w:rsid w:val="00313455"/>
    <w:rsid w:val="003179C7"/>
    <w:rsid w:val="003214DA"/>
    <w:rsid w:val="0032262B"/>
    <w:rsid w:val="00325485"/>
    <w:rsid w:val="00331533"/>
    <w:rsid w:val="00332842"/>
    <w:rsid w:val="00332DCD"/>
    <w:rsid w:val="00333EC9"/>
    <w:rsid w:val="0033509E"/>
    <w:rsid w:val="00335598"/>
    <w:rsid w:val="00342296"/>
    <w:rsid w:val="003423CD"/>
    <w:rsid w:val="00343E6E"/>
    <w:rsid w:val="00346502"/>
    <w:rsid w:val="003479EE"/>
    <w:rsid w:val="00352E50"/>
    <w:rsid w:val="00357322"/>
    <w:rsid w:val="00365158"/>
    <w:rsid w:val="003702B4"/>
    <w:rsid w:val="00370B45"/>
    <w:rsid w:val="00375B30"/>
    <w:rsid w:val="00376ADD"/>
    <w:rsid w:val="003774E0"/>
    <w:rsid w:val="003777BC"/>
    <w:rsid w:val="00380F08"/>
    <w:rsid w:val="0038121D"/>
    <w:rsid w:val="0038195E"/>
    <w:rsid w:val="00383EC6"/>
    <w:rsid w:val="00385690"/>
    <w:rsid w:val="00391A4F"/>
    <w:rsid w:val="00393C01"/>
    <w:rsid w:val="003943DB"/>
    <w:rsid w:val="00394CD4"/>
    <w:rsid w:val="00396342"/>
    <w:rsid w:val="003973BD"/>
    <w:rsid w:val="003A139D"/>
    <w:rsid w:val="003A38C8"/>
    <w:rsid w:val="003A46E1"/>
    <w:rsid w:val="003A4A81"/>
    <w:rsid w:val="003A4C97"/>
    <w:rsid w:val="003A7C5F"/>
    <w:rsid w:val="003B0545"/>
    <w:rsid w:val="003B07BC"/>
    <w:rsid w:val="003B20A6"/>
    <w:rsid w:val="003B300B"/>
    <w:rsid w:val="003B345B"/>
    <w:rsid w:val="003B66A6"/>
    <w:rsid w:val="003B7C55"/>
    <w:rsid w:val="003C0BCF"/>
    <w:rsid w:val="003C14A2"/>
    <w:rsid w:val="003C173D"/>
    <w:rsid w:val="003C4E4C"/>
    <w:rsid w:val="003C4FB7"/>
    <w:rsid w:val="003C5277"/>
    <w:rsid w:val="003C611C"/>
    <w:rsid w:val="003C77CB"/>
    <w:rsid w:val="003D121E"/>
    <w:rsid w:val="003D1512"/>
    <w:rsid w:val="003D2299"/>
    <w:rsid w:val="003D39EB"/>
    <w:rsid w:val="003D5A96"/>
    <w:rsid w:val="003D5F2B"/>
    <w:rsid w:val="003D6302"/>
    <w:rsid w:val="003D75D6"/>
    <w:rsid w:val="003E028D"/>
    <w:rsid w:val="003E216A"/>
    <w:rsid w:val="003E3AD0"/>
    <w:rsid w:val="003E4621"/>
    <w:rsid w:val="003E4A07"/>
    <w:rsid w:val="003E711E"/>
    <w:rsid w:val="003F2CCA"/>
    <w:rsid w:val="003F6A7B"/>
    <w:rsid w:val="00400470"/>
    <w:rsid w:val="00402ADD"/>
    <w:rsid w:val="00402B65"/>
    <w:rsid w:val="00402E2B"/>
    <w:rsid w:val="004030F5"/>
    <w:rsid w:val="00403F01"/>
    <w:rsid w:val="00405D03"/>
    <w:rsid w:val="0040633A"/>
    <w:rsid w:val="00406909"/>
    <w:rsid w:val="004077D5"/>
    <w:rsid w:val="004101DC"/>
    <w:rsid w:val="00410C9E"/>
    <w:rsid w:val="00412002"/>
    <w:rsid w:val="004128B2"/>
    <w:rsid w:val="0041321F"/>
    <w:rsid w:val="004152A0"/>
    <w:rsid w:val="00415A0D"/>
    <w:rsid w:val="0042012A"/>
    <w:rsid w:val="004211AF"/>
    <w:rsid w:val="00426B54"/>
    <w:rsid w:val="00426EF7"/>
    <w:rsid w:val="004273E5"/>
    <w:rsid w:val="0042766B"/>
    <w:rsid w:val="00431974"/>
    <w:rsid w:val="00432CEB"/>
    <w:rsid w:val="00433988"/>
    <w:rsid w:val="00434B90"/>
    <w:rsid w:val="00434C8A"/>
    <w:rsid w:val="00435A49"/>
    <w:rsid w:val="004372A3"/>
    <w:rsid w:val="004373D5"/>
    <w:rsid w:val="0044198F"/>
    <w:rsid w:val="0044352F"/>
    <w:rsid w:val="00445848"/>
    <w:rsid w:val="004465DA"/>
    <w:rsid w:val="00446850"/>
    <w:rsid w:val="00452445"/>
    <w:rsid w:val="0045501E"/>
    <w:rsid w:val="00455330"/>
    <w:rsid w:val="00455E48"/>
    <w:rsid w:val="00460964"/>
    <w:rsid w:val="00461A30"/>
    <w:rsid w:val="0046638B"/>
    <w:rsid w:val="00467415"/>
    <w:rsid w:val="0047178E"/>
    <w:rsid w:val="0047194B"/>
    <w:rsid w:val="004729E6"/>
    <w:rsid w:val="004751B2"/>
    <w:rsid w:val="004759EC"/>
    <w:rsid w:val="00476744"/>
    <w:rsid w:val="00480A6F"/>
    <w:rsid w:val="00482B35"/>
    <w:rsid w:val="00485DE7"/>
    <w:rsid w:val="00487E84"/>
    <w:rsid w:val="004900EF"/>
    <w:rsid w:val="00490258"/>
    <w:rsid w:val="00491E88"/>
    <w:rsid w:val="00492CA7"/>
    <w:rsid w:val="00493564"/>
    <w:rsid w:val="00493ED7"/>
    <w:rsid w:val="004963CB"/>
    <w:rsid w:val="00497EE0"/>
    <w:rsid w:val="004A0440"/>
    <w:rsid w:val="004A2107"/>
    <w:rsid w:val="004A24C5"/>
    <w:rsid w:val="004A3D9A"/>
    <w:rsid w:val="004A7399"/>
    <w:rsid w:val="004A7448"/>
    <w:rsid w:val="004B1324"/>
    <w:rsid w:val="004B1632"/>
    <w:rsid w:val="004B4296"/>
    <w:rsid w:val="004B4674"/>
    <w:rsid w:val="004B4C00"/>
    <w:rsid w:val="004B534C"/>
    <w:rsid w:val="004B5F63"/>
    <w:rsid w:val="004B675B"/>
    <w:rsid w:val="004C0AA1"/>
    <w:rsid w:val="004C385D"/>
    <w:rsid w:val="004C4A42"/>
    <w:rsid w:val="004C4F64"/>
    <w:rsid w:val="004C56C7"/>
    <w:rsid w:val="004C6DC5"/>
    <w:rsid w:val="004D074F"/>
    <w:rsid w:val="004D3C7E"/>
    <w:rsid w:val="004D67E2"/>
    <w:rsid w:val="004D7DB5"/>
    <w:rsid w:val="004E1662"/>
    <w:rsid w:val="004E32D8"/>
    <w:rsid w:val="004E3F98"/>
    <w:rsid w:val="004E5397"/>
    <w:rsid w:val="004F2B36"/>
    <w:rsid w:val="004F2C99"/>
    <w:rsid w:val="004F44FC"/>
    <w:rsid w:val="004F71D3"/>
    <w:rsid w:val="004F77C0"/>
    <w:rsid w:val="005010A2"/>
    <w:rsid w:val="0050206A"/>
    <w:rsid w:val="005020DA"/>
    <w:rsid w:val="00502400"/>
    <w:rsid w:val="00504615"/>
    <w:rsid w:val="00505BDB"/>
    <w:rsid w:val="005109BD"/>
    <w:rsid w:val="005109EE"/>
    <w:rsid w:val="00511741"/>
    <w:rsid w:val="0051309D"/>
    <w:rsid w:val="0051447E"/>
    <w:rsid w:val="00514E22"/>
    <w:rsid w:val="00515853"/>
    <w:rsid w:val="00517191"/>
    <w:rsid w:val="00517C43"/>
    <w:rsid w:val="00523052"/>
    <w:rsid w:val="0053033A"/>
    <w:rsid w:val="00533C02"/>
    <w:rsid w:val="005359B4"/>
    <w:rsid w:val="00540C77"/>
    <w:rsid w:val="00540FCD"/>
    <w:rsid w:val="00541566"/>
    <w:rsid w:val="005423F4"/>
    <w:rsid w:val="005425CA"/>
    <w:rsid w:val="005446FD"/>
    <w:rsid w:val="005447D0"/>
    <w:rsid w:val="005518A6"/>
    <w:rsid w:val="005529A8"/>
    <w:rsid w:val="00554115"/>
    <w:rsid w:val="005545E1"/>
    <w:rsid w:val="00554E43"/>
    <w:rsid w:val="00555A87"/>
    <w:rsid w:val="00557812"/>
    <w:rsid w:val="00560D12"/>
    <w:rsid w:val="005622F9"/>
    <w:rsid w:val="005637B4"/>
    <w:rsid w:val="005637BC"/>
    <w:rsid w:val="00565E6B"/>
    <w:rsid w:val="00574CC5"/>
    <w:rsid w:val="00575B5C"/>
    <w:rsid w:val="00576440"/>
    <w:rsid w:val="0057682F"/>
    <w:rsid w:val="0058016F"/>
    <w:rsid w:val="005815EA"/>
    <w:rsid w:val="005848A4"/>
    <w:rsid w:val="005849D1"/>
    <w:rsid w:val="0058527D"/>
    <w:rsid w:val="00587B47"/>
    <w:rsid w:val="005912D1"/>
    <w:rsid w:val="00592ADD"/>
    <w:rsid w:val="0059328D"/>
    <w:rsid w:val="00597219"/>
    <w:rsid w:val="005A0C3C"/>
    <w:rsid w:val="005A1ED8"/>
    <w:rsid w:val="005A3A96"/>
    <w:rsid w:val="005A3E8B"/>
    <w:rsid w:val="005A3FFD"/>
    <w:rsid w:val="005A4C54"/>
    <w:rsid w:val="005A5C0B"/>
    <w:rsid w:val="005A7B34"/>
    <w:rsid w:val="005B0048"/>
    <w:rsid w:val="005B164C"/>
    <w:rsid w:val="005B3BD2"/>
    <w:rsid w:val="005B4451"/>
    <w:rsid w:val="005B445A"/>
    <w:rsid w:val="005B4623"/>
    <w:rsid w:val="005B5304"/>
    <w:rsid w:val="005B760B"/>
    <w:rsid w:val="005C0637"/>
    <w:rsid w:val="005C1F17"/>
    <w:rsid w:val="005C2B2E"/>
    <w:rsid w:val="005C2B34"/>
    <w:rsid w:val="005C2F38"/>
    <w:rsid w:val="005D0578"/>
    <w:rsid w:val="005D12E0"/>
    <w:rsid w:val="005D183B"/>
    <w:rsid w:val="005D3041"/>
    <w:rsid w:val="005D5597"/>
    <w:rsid w:val="005D595E"/>
    <w:rsid w:val="005E1EAD"/>
    <w:rsid w:val="005E2D08"/>
    <w:rsid w:val="005E5C37"/>
    <w:rsid w:val="005F2347"/>
    <w:rsid w:val="005F60DF"/>
    <w:rsid w:val="00604A9B"/>
    <w:rsid w:val="006055DC"/>
    <w:rsid w:val="00606FA3"/>
    <w:rsid w:val="00611422"/>
    <w:rsid w:val="00613F53"/>
    <w:rsid w:val="00615304"/>
    <w:rsid w:val="00616538"/>
    <w:rsid w:val="006169F6"/>
    <w:rsid w:val="00617861"/>
    <w:rsid w:val="00617C7F"/>
    <w:rsid w:val="00620473"/>
    <w:rsid w:val="00620B4B"/>
    <w:rsid w:val="00624CBF"/>
    <w:rsid w:val="00624FD7"/>
    <w:rsid w:val="00627291"/>
    <w:rsid w:val="006277BF"/>
    <w:rsid w:val="00632E3F"/>
    <w:rsid w:val="006335D4"/>
    <w:rsid w:val="006336A4"/>
    <w:rsid w:val="00634CBF"/>
    <w:rsid w:val="00634E58"/>
    <w:rsid w:val="006412A6"/>
    <w:rsid w:val="00641ADC"/>
    <w:rsid w:val="00642A63"/>
    <w:rsid w:val="00647946"/>
    <w:rsid w:val="0065357C"/>
    <w:rsid w:val="0065400A"/>
    <w:rsid w:val="0065421F"/>
    <w:rsid w:val="00660B12"/>
    <w:rsid w:val="00662F96"/>
    <w:rsid w:val="00665C91"/>
    <w:rsid w:val="006673D5"/>
    <w:rsid w:val="006679D2"/>
    <w:rsid w:val="00671052"/>
    <w:rsid w:val="00672B7F"/>
    <w:rsid w:val="0067307D"/>
    <w:rsid w:val="006736D9"/>
    <w:rsid w:val="006765EF"/>
    <w:rsid w:val="006770AF"/>
    <w:rsid w:val="006839CB"/>
    <w:rsid w:val="006905E6"/>
    <w:rsid w:val="00692803"/>
    <w:rsid w:val="0069301F"/>
    <w:rsid w:val="006931D4"/>
    <w:rsid w:val="00693552"/>
    <w:rsid w:val="0069396F"/>
    <w:rsid w:val="00694846"/>
    <w:rsid w:val="0069558F"/>
    <w:rsid w:val="00695F41"/>
    <w:rsid w:val="00696806"/>
    <w:rsid w:val="00697D7E"/>
    <w:rsid w:val="006A1016"/>
    <w:rsid w:val="006A102E"/>
    <w:rsid w:val="006A10B0"/>
    <w:rsid w:val="006A137E"/>
    <w:rsid w:val="006A18A5"/>
    <w:rsid w:val="006A2041"/>
    <w:rsid w:val="006A4A5E"/>
    <w:rsid w:val="006A7A8F"/>
    <w:rsid w:val="006B0E78"/>
    <w:rsid w:val="006B2A27"/>
    <w:rsid w:val="006B32B1"/>
    <w:rsid w:val="006B370F"/>
    <w:rsid w:val="006B5527"/>
    <w:rsid w:val="006B6C2A"/>
    <w:rsid w:val="006C00E6"/>
    <w:rsid w:val="006C14D9"/>
    <w:rsid w:val="006C2010"/>
    <w:rsid w:val="006C4420"/>
    <w:rsid w:val="006C692D"/>
    <w:rsid w:val="006D1B56"/>
    <w:rsid w:val="006D2890"/>
    <w:rsid w:val="006D2BA0"/>
    <w:rsid w:val="006D4E88"/>
    <w:rsid w:val="006E053E"/>
    <w:rsid w:val="006E27CB"/>
    <w:rsid w:val="006E2C58"/>
    <w:rsid w:val="006E5EB6"/>
    <w:rsid w:val="006E6F06"/>
    <w:rsid w:val="006E7EA1"/>
    <w:rsid w:val="006F0986"/>
    <w:rsid w:val="006F1030"/>
    <w:rsid w:val="006F10C3"/>
    <w:rsid w:val="006F1EF9"/>
    <w:rsid w:val="006F686F"/>
    <w:rsid w:val="006F6F17"/>
    <w:rsid w:val="006F72B3"/>
    <w:rsid w:val="00705B6F"/>
    <w:rsid w:val="00705C44"/>
    <w:rsid w:val="007068FE"/>
    <w:rsid w:val="00710A9D"/>
    <w:rsid w:val="00711093"/>
    <w:rsid w:val="007112F9"/>
    <w:rsid w:val="0071210C"/>
    <w:rsid w:val="00713F79"/>
    <w:rsid w:val="00716EA2"/>
    <w:rsid w:val="007172DD"/>
    <w:rsid w:val="007175D2"/>
    <w:rsid w:val="00720995"/>
    <w:rsid w:val="007242B2"/>
    <w:rsid w:val="00724538"/>
    <w:rsid w:val="0073380F"/>
    <w:rsid w:val="007343B4"/>
    <w:rsid w:val="0074190E"/>
    <w:rsid w:val="00742B8A"/>
    <w:rsid w:val="00742C48"/>
    <w:rsid w:val="00745639"/>
    <w:rsid w:val="00747397"/>
    <w:rsid w:val="007503E3"/>
    <w:rsid w:val="007505EF"/>
    <w:rsid w:val="00751447"/>
    <w:rsid w:val="00753154"/>
    <w:rsid w:val="00754BAF"/>
    <w:rsid w:val="00754E5E"/>
    <w:rsid w:val="007552AF"/>
    <w:rsid w:val="00757259"/>
    <w:rsid w:val="00760794"/>
    <w:rsid w:val="007627E7"/>
    <w:rsid w:val="00762B54"/>
    <w:rsid w:val="0076505F"/>
    <w:rsid w:val="0076774D"/>
    <w:rsid w:val="00767DEC"/>
    <w:rsid w:val="007704BE"/>
    <w:rsid w:val="00772626"/>
    <w:rsid w:val="00772A37"/>
    <w:rsid w:val="007757CD"/>
    <w:rsid w:val="00776052"/>
    <w:rsid w:val="00777711"/>
    <w:rsid w:val="007821CC"/>
    <w:rsid w:val="007829A8"/>
    <w:rsid w:val="007853D5"/>
    <w:rsid w:val="0078654C"/>
    <w:rsid w:val="007865B4"/>
    <w:rsid w:val="00787C23"/>
    <w:rsid w:val="007906A1"/>
    <w:rsid w:val="00792229"/>
    <w:rsid w:val="00792F39"/>
    <w:rsid w:val="007A0D8A"/>
    <w:rsid w:val="007A28E8"/>
    <w:rsid w:val="007A33B6"/>
    <w:rsid w:val="007A458F"/>
    <w:rsid w:val="007A54E4"/>
    <w:rsid w:val="007A5F14"/>
    <w:rsid w:val="007A63F3"/>
    <w:rsid w:val="007A6ADA"/>
    <w:rsid w:val="007A73E4"/>
    <w:rsid w:val="007A74FE"/>
    <w:rsid w:val="007B0E77"/>
    <w:rsid w:val="007B1F05"/>
    <w:rsid w:val="007B2199"/>
    <w:rsid w:val="007B2FE8"/>
    <w:rsid w:val="007B66C2"/>
    <w:rsid w:val="007B6E72"/>
    <w:rsid w:val="007C1E13"/>
    <w:rsid w:val="007C254F"/>
    <w:rsid w:val="007C3349"/>
    <w:rsid w:val="007C526E"/>
    <w:rsid w:val="007C6A26"/>
    <w:rsid w:val="007C79EB"/>
    <w:rsid w:val="007D2061"/>
    <w:rsid w:val="007D3CA8"/>
    <w:rsid w:val="007D4997"/>
    <w:rsid w:val="007D7BEB"/>
    <w:rsid w:val="007E029E"/>
    <w:rsid w:val="007E0309"/>
    <w:rsid w:val="007E0505"/>
    <w:rsid w:val="007E19B9"/>
    <w:rsid w:val="007E26EF"/>
    <w:rsid w:val="007E43B2"/>
    <w:rsid w:val="007E6A98"/>
    <w:rsid w:val="007E7BBA"/>
    <w:rsid w:val="007E7EDC"/>
    <w:rsid w:val="007F08FA"/>
    <w:rsid w:val="007F1EFF"/>
    <w:rsid w:val="007F25E6"/>
    <w:rsid w:val="007F2FE1"/>
    <w:rsid w:val="007F4FBE"/>
    <w:rsid w:val="007F73A9"/>
    <w:rsid w:val="007F77DD"/>
    <w:rsid w:val="008000A6"/>
    <w:rsid w:val="00802445"/>
    <w:rsid w:val="0080371F"/>
    <w:rsid w:val="00805038"/>
    <w:rsid w:val="00807CA7"/>
    <w:rsid w:val="00812653"/>
    <w:rsid w:val="00814D29"/>
    <w:rsid w:val="00815A90"/>
    <w:rsid w:val="008173D4"/>
    <w:rsid w:val="008177AC"/>
    <w:rsid w:val="00817F6A"/>
    <w:rsid w:val="008206DB"/>
    <w:rsid w:val="00821AA6"/>
    <w:rsid w:val="00824AA2"/>
    <w:rsid w:val="00825514"/>
    <w:rsid w:val="00826B5E"/>
    <w:rsid w:val="008277AF"/>
    <w:rsid w:val="00832106"/>
    <w:rsid w:val="00832CD9"/>
    <w:rsid w:val="00833C64"/>
    <w:rsid w:val="00837B8E"/>
    <w:rsid w:val="00840348"/>
    <w:rsid w:val="008412E4"/>
    <w:rsid w:val="00842B4B"/>
    <w:rsid w:val="00844299"/>
    <w:rsid w:val="008446B9"/>
    <w:rsid w:val="00845C3C"/>
    <w:rsid w:val="00845E61"/>
    <w:rsid w:val="008463FB"/>
    <w:rsid w:val="00850F12"/>
    <w:rsid w:val="00852D1A"/>
    <w:rsid w:val="0085349D"/>
    <w:rsid w:val="00853E87"/>
    <w:rsid w:val="00854C99"/>
    <w:rsid w:val="0085528B"/>
    <w:rsid w:val="00855ED6"/>
    <w:rsid w:val="00855FCE"/>
    <w:rsid w:val="008568F5"/>
    <w:rsid w:val="00857F9A"/>
    <w:rsid w:val="00861CB9"/>
    <w:rsid w:val="00861F56"/>
    <w:rsid w:val="00863809"/>
    <w:rsid w:val="00865C60"/>
    <w:rsid w:val="0086770F"/>
    <w:rsid w:val="00870AEA"/>
    <w:rsid w:val="008716A9"/>
    <w:rsid w:val="00871FBE"/>
    <w:rsid w:val="00873B59"/>
    <w:rsid w:val="008752BB"/>
    <w:rsid w:val="00875587"/>
    <w:rsid w:val="00877282"/>
    <w:rsid w:val="00877CBB"/>
    <w:rsid w:val="00881577"/>
    <w:rsid w:val="00881E38"/>
    <w:rsid w:val="00882151"/>
    <w:rsid w:val="008853EA"/>
    <w:rsid w:val="00891F21"/>
    <w:rsid w:val="00892DB6"/>
    <w:rsid w:val="00893FF6"/>
    <w:rsid w:val="00894A6B"/>
    <w:rsid w:val="00897B82"/>
    <w:rsid w:val="00897F34"/>
    <w:rsid w:val="008A1F0A"/>
    <w:rsid w:val="008A2BDF"/>
    <w:rsid w:val="008A374D"/>
    <w:rsid w:val="008A50FB"/>
    <w:rsid w:val="008A5170"/>
    <w:rsid w:val="008A6950"/>
    <w:rsid w:val="008B2839"/>
    <w:rsid w:val="008B2B41"/>
    <w:rsid w:val="008C30FE"/>
    <w:rsid w:val="008C32D6"/>
    <w:rsid w:val="008C3C68"/>
    <w:rsid w:val="008C4A54"/>
    <w:rsid w:val="008C4AD2"/>
    <w:rsid w:val="008D1444"/>
    <w:rsid w:val="008D227A"/>
    <w:rsid w:val="008D4217"/>
    <w:rsid w:val="008D61C7"/>
    <w:rsid w:val="008D6D50"/>
    <w:rsid w:val="008D7011"/>
    <w:rsid w:val="008D70A1"/>
    <w:rsid w:val="008D75EE"/>
    <w:rsid w:val="008D7B4E"/>
    <w:rsid w:val="008E0949"/>
    <w:rsid w:val="008E3AAE"/>
    <w:rsid w:val="008F031D"/>
    <w:rsid w:val="008F0EAF"/>
    <w:rsid w:val="008F1EF8"/>
    <w:rsid w:val="008F2C0C"/>
    <w:rsid w:val="008F65CA"/>
    <w:rsid w:val="008F7016"/>
    <w:rsid w:val="009001D0"/>
    <w:rsid w:val="009027CA"/>
    <w:rsid w:val="00903850"/>
    <w:rsid w:val="009040EF"/>
    <w:rsid w:val="00904C65"/>
    <w:rsid w:val="00905A08"/>
    <w:rsid w:val="00907DD9"/>
    <w:rsid w:val="009169EA"/>
    <w:rsid w:val="009171B9"/>
    <w:rsid w:val="00917EE9"/>
    <w:rsid w:val="00922235"/>
    <w:rsid w:val="0092291F"/>
    <w:rsid w:val="00923D5D"/>
    <w:rsid w:val="0092460C"/>
    <w:rsid w:val="00924F06"/>
    <w:rsid w:val="00925863"/>
    <w:rsid w:val="00926275"/>
    <w:rsid w:val="00930ADA"/>
    <w:rsid w:val="00930D52"/>
    <w:rsid w:val="00932248"/>
    <w:rsid w:val="00932761"/>
    <w:rsid w:val="00932B9E"/>
    <w:rsid w:val="0093333F"/>
    <w:rsid w:val="00934D71"/>
    <w:rsid w:val="009377F9"/>
    <w:rsid w:val="0093789A"/>
    <w:rsid w:val="00940CD3"/>
    <w:rsid w:val="009416B2"/>
    <w:rsid w:val="009420F6"/>
    <w:rsid w:val="00942CCD"/>
    <w:rsid w:val="00944FD5"/>
    <w:rsid w:val="00945AC5"/>
    <w:rsid w:val="00945EE0"/>
    <w:rsid w:val="00950925"/>
    <w:rsid w:val="0095114F"/>
    <w:rsid w:val="00953934"/>
    <w:rsid w:val="009555F1"/>
    <w:rsid w:val="0095604B"/>
    <w:rsid w:val="009612B8"/>
    <w:rsid w:val="009622C0"/>
    <w:rsid w:val="00963987"/>
    <w:rsid w:val="00963C29"/>
    <w:rsid w:val="0096452A"/>
    <w:rsid w:val="00967A55"/>
    <w:rsid w:val="009702D0"/>
    <w:rsid w:val="0097318E"/>
    <w:rsid w:val="00973659"/>
    <w:rsid w:val="0097388E"/>
    <w:rsid w:val="0097451E"/>
    <w:rsid w:val="00975AD4"/>
    <w:rsid w:val="0097636D"/>
    <w:rsid w:val="0098135E"/>
    <w:rsid w:val="009857E9"/>
    <w:rsid w:val="00985AFE"/>
    <w:rsid w:val="009865C9"/>
    <w:rsid w:val="00990B83"/>
    <w:rsid w:val="00992D2D"/>
    <w:rsid w:val="00993B61"/>
    <w:rsid w:val="009952DD"/>
    <w:rsid w:val="00996D58"/>
    <w:rsid w:val="00997451"/>
    <w:rsid w:val="00997E8B"/>
    <w:rsid w:val="009A0C90"/>
    <w:rsid w:val="009A0EE0"/>
    <w:rsid w:val="009A2644"/>
    <w:rsid w:val="009A2D9A"/>
    <w:rsid w:val="009A6BB1"/>
    <w:rsid w:val="009B1140"/>
    <w:rsid w:val="009B3A74"/>
    <w:rsid w:val="009B57EF"/>
    <w:rsid w:val="009B6456"/>
    <w:rsid w:val="009C091F"/>
    <w:rsid w:val="009C5AFE"/>
    <w:rsid w:val="009C6B3E"/>
    <w:rsid w:val="009D1C01"/>
    <w:rsid w:val="009D3658"/>
    <w:rsid w:val="009D4B1D"/>
    <w:rsid w:val="009D525D"/>
    <w:rsid w:val="009D5652"/>
    <w:rsid w:val="009D7271"/>
    <w:rsid w:val="009E13A0"/>
    <w:rsid w:val="009E1A51"/>
    <w:rsid w:val="009E282E"/>
    <w:rsid w:val="009E4EEB"/>
    <w:rsid w:val="009E507F"/>
    <w:rsid w:val="009F16F1"/>
    <w:rsid w:val="009F29F6"/>
    <w:rsid w:val="009F33E3"/>
    <w:rsid w:val="009F77BE"/>
    <w:rsid w:val="009F78FB"/>
    <w:rsid w:val="00A00B64"/>
    <w:rsid w:val="00A0134F"/>
    <w:rsid w:val="00A01E65"/>
    <w:rsid w:val="00A04F34"/>
    <w:rsid w:val="00A07589"/>
    <w:rsid w:val="00A10313"/>
    <w:rsid w:val="00A10E94"/>
    <w:rsid w:val="00A14616"/>
    <w:rsid w:val="00A14B77"/>
    <w:rsid w:val="00A16468"/>
    <w:rsid w:val="00A237E6"/>
    <w:rsid w:val="00A24F01"/>
    <w:rsid w:val="00A261E4"/>
    <w:rsid w:val="00A268EB"/>
    <w:rsid w:val="00A26C76"/>
    <w:rsid w:val="00A34809"/>
    <w:rsid w:val="00A3622A"/>
    <w:rsid w:val="00A36A85"/>
    <w:rsid w:val="00A36D59"/>
    <w:rsid w:val="00A37E8A"/>
    <w:rsid w:val="00A42D08"/>
    <w:rsid w:val="00A4423B"/>
    <w:rsid w:val="00A4444B"/>
    <w:rsid w:val="00A4450D"/>
    <w:rsid w:val="00A446CB"/>
    <w:rsid w:val="00A50234"/>
    <w:rsid w:val="00A513BD"/>
    <w:rsid w:val="00A51E1A"/>
    <w:rsid w:val="00A52D23"/>
    <w:rsid w:val="00A53128"/>
    <w:rsid w:val="00A603DC"/>
    <w:rsid w:val="00A60D5F"/>
    <w:rsid w:val="00A61C91"/>
    <w:rsid w:val="00A6637A"/>
    <w:rsid w:val="00A66F81"/>
    <w:rsid w:val="00A67822"/>
    <w:rsid w:val="00A70E73"/>
    <w:rsid w:val="00A7100C"/>
    <w:rsid w:val="00A7143E"/>
    <w:rsid w:val="00A71EE2"/>
    <w:rsid w:val="00A7490D"/>
    <w:rsid w:val="00A76F74"/>
    <w:rsid w:val="00A775B0"/>
    <w:rsid w:val="00A80C62"/>
    <w:rsid w:val="00A82979"/>
    <w:rsid w:val="00A84683"/>
    <w:rsid w:val="00A87EE6"/>
    <w:rsid w:val="00A9285F"/>
    <w:rsid w:val="00A92E19"/>
    <w:rsid w:val="00A934D1"/>
    <w:rsid w:val="00A950C1"/>
    <w:rsid w:val="00A95497"/>
    <w:rsid w:val="00A95C65"/>
    <w:rsid w:val="00A96B7E"/>
    <w:rsid w:val="00A96D96"/>
    <w:rsid w:val="00A971D4"/>
    <w:rsid w:val="00AB0237"/>
    <w:rsid w:val="00AB184B"/>
    <w:rsid w:val="00AB38C8"/>
    <w:rsid w:val="00AB3A57"/>
    <w:rsid w:val="00AC03A8"/>
    <w:rsid w:val="00AC05D4"/>
    <w:rsid w:val="00AC1750"/>
    <w:rsid w:val="00AC60EC"/>
    <w:rsid w:val="00AC6993"/>
    <w:rsid w:val="00AC7FDC"/>
    <w:rsid w:val="00AD3283"/>
    <w:rsid w:val="00AD369F"/>
    <w:rsid w:val="00AD7307"/>
    <w:rsid w:val="00AE18BF"/>
    <w:rsid w:val="00AE207C"/>
    <w:rsid w:val="00AE41B4"/>
    <w:rsid w:val="00AE6164"/>
    <w:rsid w:val="00AE676F"/>
    <w:rsid w:val="00AE6D74"/>
    <w:rsid w:val="00AE78AE"/>
    <w:rsid w:val="00AF1E20"/>
    <w:rsid w:val="00AF3E49"/>
    <w:rsid w:val="00AF435F"/>
    <w:rsid w:val="00AF48E4"/>
    <w:rsid w:val="00AF5280"/>
    <w:rsid w:val="00AF5AC5"/>
    <w:rsid w:val="00AF5ED2"/>
    <w:rsid w:val="00B00AFA"/>
    <w:rsid w:val="00B020A9"/>
    <w:rsid w:val="00B02B8F"/>
    <w:rsid w:val="00B03409"/>
    <w:rsid w:val="00B04862"/>
    <w:rsid w:val="00B04DB9"/>
    <w:rsid w:val="00B05A8F"/>
    <w:rsid w:val="00B06B46"/>
    <w:rsid w:val="00B16EB9"/>
    <w:rsid w:val="00B17F7D"/>
    <w:rsid w:val="00B202E1"/>
    <w:rsid w:val="00B20EFA"/>
    <w:rsid w:val="00B21AB1"/>
    <w:rsid w:val="00B23B47"/>
    <w:rsid w:val="00B243B3"/>
    <w:rsid w:val="00B2662B"/>
    <w:rsid w:val="00B319CA"/>
    <w:rsid w:val="00B33192"/>
    <w:rsid w:val="00B34ED6"/>
    <w:rsid w:val="00B3661C"/>
    <w:rsid w:val="00B3719C"/>
    <w:rsid w:val="00B37E55"/>
    <w:rsid w:val="00B42B94"/>
    <w:rsid w:val="00B44C58"/>
    <w:rsid w:val="00B475D1"/>
    <w:rsid w:val="00B51130"/>
    <w:rsid w:val="00B5132E"/>
    <w:rsid w:val="00B5217C"/>
    <w:rsid w:val="00B533AD"/>
    <w:rsid w:val="00B537BF"/>
    <w:rsid w:val="00B551CE"/>
    <w:rsid w:val="00B601B3"/>
    <w:rsid w:val="00B62A25"/>
    <w:rsid w:val="00B651DD"/>
    <w:rsid w:val="00B65253"/>
    <w:rsid w:val="00B6682E"/>
    <w:rsid w:val="00B71012"/>
    <w:rsid w:val="00B7352A"/>
    <w:rsid w:val="00B75E3B"/>
    <w:rsid w:val="00B75EDC"/>
    <w:rsid w:val="00B76A5A"/>
    <w:rsid w:val="00B81C24"/>
    <w:rsid w:val="00B8314C"/>
    <w:rsid w:val="00B83C29"/>
    <w:rsid w:val="00B846DC"/>
    <w:rsid w:val="00B85F0E"/>
    <w:rsid w:val="00B92203"/>
    <w:rsid w:val="00B927E5"/>
    <w:rsid w:val="00B92C44"/>
    <w:rsid w:val="00B95606"/>
    <w:rsid w:val="00B968FB"/>
    <w:rsid w:val="00B97F7B"/>
    <w:rsid w:val="00BA108A"/>
    <w:rsid w:val="00BA1134"/>
    <w:rsid w:val="00BA1E6C"/>
    <w:rsid w:val="00BA3AB6"/>
    <w:rsid w:val="00BA72DA"/>
    <w:rsid w:val="00BB0720"/>
    <w:rsid w:val="00BB11DB"/>
    <w:rsid w:val="00BB245F"/>
    <w:rsid w:val="00BB33B4"/>
    <w:rsid w:val="00BB59FA"/>
    <w:rsid w:val="00BB6AD5"/>
    <w:rsid w:val="00BC0283"/>
    <w:rsid w:val="00BC08A3"/>
    <w:rsid w:val="00BC1962"/>
    <w:rsid w:val="00BC1E62"/>
    <w:rsid w:val="00BC220F"/>
    <w:rsid w:val="00BC236D"/>
    <w:rsid w:val="00BC249C"/>
    <w:rsid w:val="00BC5C4D"/>
    <w:rsid w:val="00BC7933"/>
    <w:rsid w:val="00BC7DD0"/>
    <w:rsid w:val="00BD08B5"/>
    <w:rsid w:val="00BD08DF"/>
    <w:rsid w:val="00BD2241"/>
    <w:rsid w:val="00BD6A12"/>
    <w:rsid w:val="00BD7826"/>
    <w:rsid w:val="00BE02CA"/>
    <w:rsid w:val="00BE069B"/>
    <w:rsid w:val="00BE1736"/>
    <w:rsid w:val="00BE331A"/>
    <w:rsid w:val="00BE4321"/>
    <w:rsid w:val="00BE43CA"/>
    <w:rsid w:val="00BE4448"/>
    <w:rsid w:val="00BE777D"/>
    <w:rsid w:val="00BF06E4"/>
    <w:rsid w:val="00BF0C7A"/>
    <w:rsid w:val="00BF0DF6"/>
    <w:rsid w:val="00BF21DE"/>
    <w:rsid w:val="00BF2A6E"/>
    <w:rsid w:val="00BF5620"/>
    <w:rsid w:val="00BF5657"/>
    <w:rsid w:val="00BF6CC3"/>
    <w:rsid w:val="00C01849"/>
    <w:rsid w:val="00C049C3"/>
    <w:rsid w:val="00C073D4"/>
    <w:rsid w:val="00C10CD3"/>
    <w:rsid w:val="00C11AF4"/>
    <w:rsid w:val="00C12803"/>
    <w:rsid w:val="00C12EFF"/>
    <w:rsid w:val="00C13ED8"/>
    <w:rsid w:val="00C17EEB"/>
    <w:rsid w:val="00C204D5"/>
    <w:rsid w:val="00C218D7"/>
    <w:rsid w:val="00C21A7B"/>
    <w:rsid w:val="00C23475"/>
    <w:rsid w:val="00C24AAD"/>
    <w:rsid w:val="00C3061A"/>
    <w:rsid w:val="00C34DDD"/>
    <w:rsid w:val="00C35108"/>
    <w:rsid w:val="00C37DD2"/>
    <w:rsid w:val="00C37F5E"/>
    <w:rsid w:val="00C41087"/>
    <w:rsid w:val="00C4149E"/>
    <w:rsid w:val="00C41E18"/>
    <w:rsid w:val="00C4455F"/>
    <w:rsid w:val="00C523A8"/>
    <w:rsid w:val="00C52BA5"/>
    <w:rsid w:val="00C53281"/>
    <w:rsid w:val="00C535E1"/>
    <w:rsid w:val="00C53731"/>
    <w:rsid w:val="00C53CE8"/>
    <w:rsid w:val="00C53FD2"/>
    <w:rsid w:val="00C54BCD"/>
    <w:rsid w:val="00C60399"/>
    <w:rsid w:val="00C624EC"/>
    <w:rsid w:val="00C63D67"/>
    <w:rsid w:val="00C64844"/>
    <w:rsid w:val="00C64D3E"/>
    <w:rsid w:val="00C65CB3"/>
    <w:rsid w:val="00C675CE"/>
    <w:rsid w:val="00C676EB"/>
    <w:rsid w:val="00C709F8"/>
    <w:rsid w:val="00C7222C"/>
    <w:rsid w:val="00C73AA7"/>
    <w:rsid w:val="00C7554E"/>
    <w:rsid w:val="00C8303F"/>
    <w:rsid w:val="00C85254"/>
    <w:rsid w:val="00C909EF"/>
    <w:rsid w:val="00C9134F"/>
    <w:rsid w:val="00C91371"/>
    <w:rsid w:val="00C921DC"/>
    <w:rsid w:val="00C95E96"/>
    <w:rsid w:val="00C976A0"/>
    <w:rsid w:val="00CA0612"/>
    <w:rsid w:val="00CA2E11"/>
    <w:rsid w:val="00CA3FD6"/>
    <w:rsid w:val="00CA4FA4"/>
    <w:rsid w:val="00CA5324"/>
    <w:rsid w:val="00CA56D5"/>
    <w:rsid w:val="00CA66E4"/>
    <w:rsid w:val="00CA6AFE"/>
    <w:rsid w:val="00CB0E59"/>
    <w:rsid w:val="00CB11E8"/>
    <w:rsid w:val="00CB35B0"/>
    <w:rsid w:val="00CB392A"/>
    <w:rsid w:val="00CB6C35"/>
    <w:rsid w:val="00CB79CB"/>
    <w:rsid w:val="00CC0B35"/>
    <w:rsid w:val="00CC11D0"/>
    <w:rsid w:val="00CC4734"/>
    <w:rsid w:val="00CC6240"/>
    <w:rsid w:val="00CC6D66"/>
    <w:rsid w:val="00CC75BC"/>
    <w:rsid w:val="00CD5A21"/>
    <w:rsid w:val="00CE13B0"/>
    <w:rsid w:val="00CF0027"/>
    <w:rsid w:val="00CF2902"/>
    <w:rsid w:val="00CF3A05"/>
    <w:rsid w:val="00CF4EC4"/>
    <w:rsid w:val="00CF57A3"/>
    <w:rsid w:val="00CF6C02"/>
    <w:rsid w:val="00CF7114"/>
    <w:rsid w:val="00CF784F"/>
    <w:rsid w:val="00D0008C"/>
    <w:rsid w:val="00D0039D"/>
    <w:rsid w:val="00D0193F"/>
    <w:rsid w:val="00D030C5"/>
    <w:rsid w:val="00D0330C"/>
    <w:rsid w:val="00D033CC"/>
    <w:rsid w:val="00D0385A"/>
    <w:rsid w:val="00D05456"/>
    <w:rsid w:val="00D06172"/>
    <w:rsid w:val="00D10F0C"/>
    <w:rsid w:val="00D13851"/>
    <w:rsid w:val="00D1763E"/>
    <w:rsid w:val="00D1790E"/>
    <w:rsid w:val="00D20BBC"/>
    <w:rsid w:val="00D22001"/>
    <w:rsid w:val="00D22470"/>
    <w:rsid w:val="00D22BD0"/>
    <w:rsid w:val="00D22C79"/>
    <w:rsid w:val="00D22F30"/>
    <w:rsid w:val="00D24293"/>
    <w:rsid w:val="00D276B2"/>
    <w:rsid w:val="00D276EA"/>
    <w:rsid w:val="00D2770C"/>
    <w:rsid w:val="00D27AF6"/>
    <w:rsid w:val="00D33BCC"/>
    <w:rsid w:val="00D36470"/>
    <w:rsid w:val="00D36E34"/>
    <w:rsid w:val="00D37844"/>
    <w:rsid w:val="00D40DAC"/>
    <w:rsid w:val="00D441A6"/>
    <w:rsid w:val="00D449BB"/>
    <w:rsid w:val="00D450B2"/>
    <w:rsid w:val="00D45371"/>
    <w:rsid w:val="00D50072"/>
    <w:rsid w:val="00D5217C"/>
    <w:rsid w:val="00D52C93"/>
    <w:rsid w:val="00D53FC7"/>
    <w:rsid w:val="00D541AB"/>
    <w:rsid w:val="00D5723C"/>
    <w:rsid w:val="00D62126"/>
    <w:rsid w:val="00D643A1"/>
    <w:rsid w:val="00D64901"/>
    <w:rsid w:val="00D66653"/>
    <w:rsid w:val="00D66D77"/>
    <w:rsid w:val="00D677F2"/>
    <w:rsid w:val="00D70F39"/>
    <w:rsid w:val="00D71A34"/>
    <w:rsid w:val="00D7211A"/>
    <w:rsid w:val="00D726DE"/>
    <w:rsid w:val="00D72A62"/>
    <w:rsid w:val="00D73404"/>
    <w:rsid w:val="00D74996"/>
    <w:rsid w:val="00D771BB"/>
    <w:rsid w:val="00D77C72"/>
    <w:rsid w:val="00D77CC9"/>
    <w:rsid w:val="00D82D7C"/>
    <w:rsid w:val="00D8443C"/>
    <w:rsid w:val="00D84602"/>
    <w:rsid w:val="00D8514E"/>
    <w:rsid w:val="00D87540"/>
    <w:rsid w:val="00D90FB6"/>
    <w:rsid w:val="00D90FE9"/>
    <w:rsid w:val="00D91000"/>
    <w:rsid w:val="00D91F3D"/>
    <w:rsid w:val="00D93212"/>
    <w:rsid w:val="00D93601"/>
    <w:rsid w:val="00D93B21"/>
    <w:rsid w:val="00D93B50"/>
    <w:rsid w:val="00D9449E"/>
    <w:rsid w:val="00D94B20"/>
    <w:rsid w:val="00D967FC"/>
    <w:rsid w:val="00D969DD"/>
    <w:rsid w:val="00D9726C"/>
    <w:rsid w:val="00DA36A9"/>
    <w:rsid w:val="00DA37B4"/>
    <w:rsid w:val="00DA3893"/>
    <w:rsid w:val="00DA4785"/>
    <w:rsid w:val="00DA56F5"/>
    <w:rsid w:val="00DA6341"/>
    <w:rsid w:val="00DA6B7C"/>
    <w:rsid w:val="00DA717C"/>
    <w:rsid w:val="00DA72C4"/>
    <w:rsid w:val="00DA7AD4"/>
    <w:rsid w:val="00DB2465"/>
    <w:rsid w:val="00DB4D4F"/>
    <w:rsid w:val="00DB6775"/>
    <w:rsid w:val="00DB74D3"/>
    <w:rsid w:val="00DC17A4"/>
    <w:rsid w:val="00DC277B"/>
    <w:rsid w:val="00DC42DB"/>
    <w:rsid w:val="00DC456B"/>
    <w:rsid w:val="00DC4810"/>
    <w:rsid w:val="00DC570D"/>
    <w:rsid w:val="00DC7E37"/>
    <w:rsid w:val="00DD1A67"/>
    <w:rsid w:val="00DD2597"/>
    <w:rsid w:val="00DD349A"/>
    <w:rsid w:val="00DD400F"/>
    <w:rsid w:val="00DD50CF"/>
    <w:rsid w:val="00DD566F"/>
    <w:rsid w:val="00DD5D28"/>
    <w:rsid w:val="00DD60FC"/>
    <w:rsid w:val="00DE0320"/>
    <w:rsid w:val="00DE083E"/>
    <w:rsid w:val="00DE1BC4"/>
    <w:rsid w:val="00DE1D16"/>
    <w:rsid w:val="00DE23F4"/>
    <w:rsid w:val="00DE42A2"/>
    <w:rsid w:val="00DF121A"/>
    <w:rsid w:val="00DF1DAC"/>
    <w:rsid w:val="00DF2820"/>
    <w:rsid w:val="00DF4692"/>
    <w:rsid w:val="00DF52B7"/>
    <w:rsid w:val="00DF685E"/>
    <w:rsid w:val="00DF779D"/>
    <w:rsid w:val="00DF7C4A"/>
    <w:rsid w:val="00DF7D20"/>
    <w:rsid w:val="00E017FE"/>
    <w:rsid w:val="00E01A61"/>
    <w:rsid w:val="00E020A7"/>
    <w:rsid w:val="00E023DD"/>
    <w:rsid w:val="00E03457"/>
    <w:rsid w:val="00E0429C"/>
    <w:rsid w:val="00E047AF"/>
    <w:rsid w:val="00E07396"/>
    <w:rsid w:val="00E11B0E"/>
    <w:rsid w:val="00E12510"/>
    <w:rsid w:val="00E127B2"/>
    <w:rsid w:val="00E137ED"/>
    <w:rsid w:val="00E153B9"/>
    <w:rsid w:val="00E1794C"/>
    <w:rsid w:val="00E2313A"/>
    <w:rsid w:val="00E23250"/>
    <w:rsid w:val="00E23D50"/>
    <w:rsid w:val="00E30EDD"/>
    <w:rsid w:val="00E31C2F"/>
    <w:rsid w:val="00E31D81"/>
    <w:rsid w:val="00E3204E"/>
    <w:rsid w:val="00E3294D"/>
    <w:rsid w:val="00E32F52"/>
    <w:rsid w:val="00E3345D"/>
    <w:rsid w:val="00E340F9"/>
    <w:rsid w:val="00E374CA"/>
    <w:rsid w:val="00E41426"/>
    <w:rsid w:val="00E416D4"/>
    <w:rsid w:val="00E4226B"/>
    <w:rsid w:val="00E43961"/>
    <w:rsid w:val="00E44CDB"/>
    <w:rsid w:val="00E45207"/>
    <w:rsid w:val="00E513EE"/>
    <w:rsid w:val="00E516E3"/>
    <w:rsid w:val="00E52C36"/>
    <w:rsid w:val="00E55767"/>
    <w:rsid w:val="00E557BA"/>
    <w:rsid w:val="00E55B7B"/>
    <w:rsid w:val="00E57250"/>
    <w:rsid w:val="00E57C58"/>
    <w:rsid w:val="00E61609"/>
    <w:rsid w:val="00E6291F"/>
    <w:rsid w:val="00E67440"/>
    <w:rsid w:val="00E677B4"/>
    <w:rsid w:val="00E70EA1"/>
    <w:rsid w:val="00E710B7"/>
    <w:rsid w:val="00E71946"/>
    <w:rsid w:val="00E727B1"/>
    <w:rsid w:val="00E8050B"/>
    <w:rsid w:val="00E82DE7"/>
    <w:rsid w:val="00E854C2"/>
    <w:rsid w:val="00E8678B"/>
    <w:rsid w:val="00E870D8"/>
    <w:rsid w:val="00E902D2"/>
    <w:rsid w:val="00E90400"/>
    <w:rsid w:val="00E92545"/>
    <w:rsid w:val="00E95FDE"/>
    <w:rsid w:val="00E9627A"/>
    <w:rsid w:val="00E964CD"/>
    <w:rsid w:val="00EA111B"/>
    <w:rsid w:val="00EA1320"/>
    <w:rsid w:val="00EA1C31"/>
    <w:rsid w:val="00EA2410"/>
    <w:rsid w:val="00EA34FF"/>
    <w:rsid w:val="00EA7584"/>
    <w:rsid w:val="00EB008E"/>
    <w:rsid w:val="00EB1F92"/>
    <w:rsid w:val="00EB26A8"/>
    <w:rsid w:val="00EB29D7"/>
    <w:rsid w:val="00EB2D2E"/>
    <w:rsid w:val="00EB4215"/>
    <w:rsid w:val="00EB6F5C"/>
    <w:rsid w:val="00EC5D43"/>
    <w:rsid w:val="00EC693E"/>
    <w:rsid w:val="00ED04DF"/>
    <w:rsid w:val="00ED0754"/>
    <w:rsid w:val="00ED07C6"/>
    <w:rsid w:val="00ED1CFF"/>
    <w:rsid w:val="00ED20C6"/>
    <w:rsid w:val="00ED2AF3"/>
    <w:rsid w:val="00ED3840"/>
    <w:rsid w:val="00ED4802"/>
    <w:rsid w:val="00ED7E34"/>
    <w:rsid w:val="00EE01FA"/>
    <w:rsid w:val="00EE053A"/>
    <w:rsid w:val="00EE2128"/>
    <w:rsid w:val="00EE2240"/>
    <w:rsid w:val="00EE3AB4"/>
    <w:rsid w:val="00EE4167"/>
    <w:rsid w:val="00EE45AD"/>
    <w:rsid w:val="00EE58D9"/>
    <w:rsid w:val="00EE77E2"/>
    <w:rsid w:val="00EF1186"/>
    <w:rsid w:val="00EF5E83"/>
    <w:rsid w:val="00EF6501"/>
    <w:rsid w:val="00F051C3"/>
    <w:rsid w:val="00F05F0F"/>
    <w:rsid w:val="00F07100"/>
    <w:rsid w:val="00F07AB1"/>
    <w:rsid w:val="00F10845"/>
    <w:rsid w:val="00F11264"/>
    <w:rsid w:val="00F1579D"/>
    <w:rsid w:val="00F1696D"/>
    <w:rsid w:val="00F20A01"/>
    <w:rsid w:val="00F221FF"/>
    <w:rsid w:val="00F24374"/>
    <w:rsid w:val="00F24B15"/>
    <w:rsid w:val="00F259C4"/>
    <w:rsid w:val="00F26306"/>
    <w:rsid w:val="00F2719C"/>
    <w:rsid w:val="00F27A50"/>
    <w:rsid w:val="00F27B9A"/>
    <w:rsid w:val="00F27DDF"/>
    <w:rsid w:val="00F308A4"/>
    <w:rsid w:val="00F31F22"/>
    <w:rsid w:val="00F33341"/>
    <w:rsid w:val="00F33B12"/>
    <w:rsid w:val="00F36845"/>
    <w:rsid w:val="00F43AE1"/>
    <w:rsid w:val="00F44B9A"/>
    <w:rsid w:val="00F45158"/>
    <w:rsid w:val="00F4637C"/>
    <w:rsid w:val="00F51B0C"/>
    <w:rsid w:val="00F52415"/>
    <w:rsid w:val="00F53464"/>
    <w:rsid w:val="00F55998"/>
    <w:rsid w:val="00F60CC2"/>
    <w:rsid w:val="00F60EF0"/>
    <w:rsid w:val="00F614D1"/>
    <w:rsid w:val="00F61E09"/>
    <w:rsid w:val="00F627ED"/>
    <w:rsid w:val="00F63647"/>
    <w:rsid w:val="00F64815"/>
    <w:rsid w:val="00F65585"/>
    <w:rsid w:val="00F67536"/>
    <w:rsid w:val="00F679AA"/>
    <w:rsid w:val="00F7010B"/>
    <w:rsid w:val="00F714AC"/>
    <w:rsid w:val="00F7267C"/>
    <w:rsid w:val="00F72CFB"/>
    <w:rsid w:val="00F7391B"/>
    <w:rsid w:val="00F74B3F"/>
    <w:rsid w:val="00F80908"/>
    <w:rsid w:val="00F83FA7"/>
    <w:rsid w:val="00F87376"/>
    <w:rsid w:val="00F94214"/>
    <w:rsid w:val="00F96EDE"/>
    <w:rsid w:val="00F97877"/>
    <w:rsid w:val="00FA0462"/>
    <w:rsid w:val="00FA179C"/>
    <w:rsid w:val="00FA23A3"/>
    <w:rsid w:val="00FA38C6"/>
    <w:rsid w:val="00FA48EA"/>
    <w:rsid w:val="00FA5379"/>
    <w:rsid w:val="00FA585A"/>
    <w:rsid w:val="00FA6F68"/>
    <w:rsid w:val="00FB0DB6"/>
    <w:rsid w:val="00FB126D"/>
    <w:rsid w:val="00FB2B20"/>
    <w:rsid w:val="00FB2EE6"/>
    <w:rsid w:val="00FB3834"/>
    <w:rsid w:val="00FB41C5"/>
    <w:rsid w:val="00FB474E"/>
    <w:rsid w:val="00FB5315"/>
    <w:rsid w:val="00FB5DFA"/>
    <w:rsid w:val="00FB6011"/>
    <w:rsid w:val="00FB6EDE"/>
    <w:rsid w:val="00FB6FE5"/>
    <w:rsid w:val="00FC06F6"/>
    <w:rsid w:val="00FC2768"/>
    <w:rsid w:val="00FC47B0"/>
    <w:rsid w:val="00FC79BF"/>
    <w:rsid w:val="00FC7F45"/>
    <w:rsid w:val="00FD11A8"/>
    <w:rsid w:val="00FD1A9B"/>
    <w:rsid w:val="00FD30ED"/>
    <w:rsid w:val="00FD35B7"/>
    <w:rsid w:val="00FD3791"/>
    <w:rsid w:val="00FD43C7"/>
    <w:rsid w:val="00FD4800"/>
    <w:rsid w:val="00FE48AC"/>
    <w:rsid w:val="00FE53DF"/>
    <w:rsid w:val="00FE5C0E"/>
    <w:rsid w:val="00FF0D5C"/>
    <w:rsid w:val="00FF1C79"/>
    <w:rsid w:val="00FF3EC1"/>
    <w:rsid w:val="00FF5C3D"/>
    <w:rsid w:val="00FF6967"/>
    <w:rsid w:val="00FF7B33"/>
    <w:rsid w:val="02285106"/>
    <w:rsid w:val="0AAD7830"/>
    <w:rsid w:val="0ABD2798"/>
    <w:rsid w:val="0CF16768"/>
    <w:rsid w:val="19A05FC4"/>
    <w:rsid w:val="19AFB91A"/>
    <w:rsid w:val="1AB12EC4"/>
    <w:rsid w:val="1C6909E3"/>
    <w:rsid w:val="1E404B5F"/>
    <w:rsid w:val="1EA54290"/>
    <w:rsid w:val="1EFF3340"/>
    <w:rsid w:val="21DB7537"/>
    <w:rsid w:val="256D4091"/>
    <w:rsid w:val="283F74C3"/>
    <w:rsid w:val="284F3C57"/>
    <w:rsid w:val="28712EFE"/>
    <w:rsid w:val="28C1395D"/>
    <w:rsid w:val="296720BE"/>
    <w:rsid w:val="2CC15C1C"/>
    <w:rsid w:val="320E702B"/>
    <w:rsid w:val="32912299"/>
    <w:rsid w:val="35BF1734"/>
    <w:rsid w:val="37CF7F31"/>
    <w:rsid w:val="37CFE7F7"/>
    <w:rsid w:val="3961778E"/>
    <w:rsid w:val="3BBD07A7"/>
    <w:rsid w:val="3C0A68D3"/>
    <w:rsid w:val="3C4A62C9"/>
    <w:rsid w:val="3DA402E0"/>
    <w:rsid w:val="3E923574"/>
    <w:rsid w:val="42DE5970"/>
    <w:rsid w:val="454C6DAA"/>
    <w:rsid w:val="46CB0B5A"/>
    <w:rsid w:val="47E73B3F"/>
    <w:rsid w:val="4A320939"/>
    <w:rsid w:val="4BE259B9"/>
    <w:rsid w:val="4F843866"/>
    <w:rsid w:val="4FB15796"/>
    <w:rsid w:val="500E3B02"/>
    <w:rsid w:val="50A14352"/>
    <w:rsid w:val="52CF6FA3"/>
    <w:rsid w:val="52EF1D75"/>
    <w:rsid w:val="538B205F"/>
    <w:rsid w:val="550340BB"/>
    <w:rsid w:val="55EE5313"/>
    <w:rsid w:val="58276ACD"/>
    <w:rsid w:val="582A713A"/>
    <w:rsid w:val="5A5B0487"/>
    <w:rsid w:val="5B3F40C1"/>
    <w:rsid w:val="5DFE80D6"/>
    <w:rsid w:val="5EEF181D"/>
    <w:rsid w:val="5F415E0B"/>
    <w:rsid w:val="5FD57DB7"/>
    <w:rsid w:val="5FEF2153"/>
    <w:rsid w:val="608851C7"/>
    <w:rsid w:val="60C17A10"/>
    <w:rsid w:val="63604B8C"/>
    <w:rsid w:val="656631EB"/>
    <w:rsid w:val="65BEF395"/>
    <w:rsid w:val="6DC26B37"/>
    <w:rsid w:val="6DEC200C"/>
    <w:rsid w:val="6E093815"/>
    <w:rsid w:val="6F426C68"/>
    <w:rsid w:val="727E647C"/>
    <w:rsid w:val="757CD756"/>
    <w:rsid w:val="76F18F74"/>
    <w:rsid w:val="774D7780"/>
    <w:rsid w:val="7B7E7294"/>
    <w:rsid w:val="7B8342A5"/>
    <w:rsid w:val="7D3BBE24"/>
    <w:rsid w:val="7EBD1763"/>
    <w:rsid w:val="7FBC0E7A"/>
    <w:rsid w:val="7FD585DD"/>
    <w:rsid w:val="7FEFCBE5"/>
    <w:rsid w:val="7FFBB606"/>
    <w:rsid w:val="956EDBA0"/>
    <w:rsid w:val="977F29E6"/>
    <w:rsid w:val="9FD7279F"/>
    <w:rsid w:val="A7D4CDB5"/>
    <w:rsid w:val="AB5F2B1B"/>
    <w:rsid w:val="B7DEC5C4"/>
    <w:rsid w:val="BD7F2CA2"/>
    <w:rsid w:val="BFDF8321"/>
    <w:rsid w:val="D7DBFDDF"/>
    <w:rsid w:val="DA6EC5A0"/>
    <w:rsid w:val="EDEF5AAA"/>
    <w:rsid w:val="EEFBB027"/>
    <w:rsid w:val="EFBFAD20"/>
    <w:rsid w:val="F7BF6837"/>
    <w:rsid w:val="F7FF6984"/>
    <w:rsid w:val="F99FA417"/>
    <w:rsid w:val="FDE74313"/>
    <w:rsid w:val="FDFED30A"/>
    <w:rsid w:val="FF83B4F3"/>
    <w:rsid w:val="FFEFE7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黑体"/>
      <w:kern w:val="2"/>
      <w:sz w:val="24"/>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Calibri" w:hAnsi="Calibri"/>
      <w:b/>
      <w:bCs/>
      <w:sz w:val="32"/>
      <w:szCs w:val="32"/>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1440"/>
      <w:jc w:val="left"/>
    </w:pPr>
    <w:rPr>
      <w:rFonts w:asciiTheme="minorHAnsi" w:hAnsiTheme="minorHAnsi" w:cstheme="minorHAnsi"/>
      <w:sz w:val="18"/>
      <w:szCs w:val="18"/>
    </w:rPr>
  </w:style>
  <w:style w:type="paragraph" w:styleId="6">
    <w:name w:val="Document Map"/>
    <w:basedOn w:val="1"/>
    <w:link w:val="43"/>
    <w:semiHidden/>
    <w:unhideWhenUsed/>
    <w:qFormat/>
    <w:uiPriority w:val="0"/>
    <w:rPr>
      <w:rFonts w:ascii="宋体"/>
      <w:sz w:val="18"/>
      <w:szCs w:val="18"/>
    </w:rPr>
  </w:style>
  <w:style w:type="paragraph" w:styleId="7">
    <w:name w:val="annotation text"/>
    <w:basedOn w:val="1"/>
    <w:link w:val="37"/>
    <w:unhideWhenUsed/>
    <w:qFormat/>
    <w:uiPriority w:val="99"/>
    <w:pPr>
      <w:jc w:val="left"/>
    </w:pPr>
  </w:style>
  <w:style w:type="paragraph" w:styleId="8">
    <w:name w:val="toc 5"/>
    <w:basedOn w:val="1"/>
    <w:next w:val="1"/>
    <w:autoRedefine/>
    <w:unhideWhenUsed/>
    <w:qFormat/>
    <w:uiPriority w:val="39"/>
    <w:pPr>
      <w:ind w:left="960"/>
      <w:jc w:val="left"/>
    </w:pPr>
    <w:rPr>
      <w:rFonts w:asciiTheme="minorHAnsi" w:hAnsiTheme="minorHAnsi" w:cstheme="minorHAnsi"/>
      <w:sz w:val="18"/>
      <w:szCs w:val="18"/>
    </w:rPr>
  </w:style>
  <w:style w:type="paragraph" w:styleId="9">
    <w:name w:val="toc 3"/>
    <w:basedOn w:val="1"/>
    <w:next w:val="1"/>
    <w:autoRedefine/>
    <w:unhideWhenUsed/>
    <w:qFormat/>
    <w:uiPriority w:val="39"/>
    <w:pPr>
      <w:ind w:left="480"/>
      <w:jc w:val="left"/>
    </w:pPr>
    <w:rPr>
      <w:rFonts w:asciiTheme="minorHAnsi" w:hAnsiTheme="minorHAnsi" w:cstheme="minorHAnsi"/>
      <w:i/>
      <w:iCs/>
      <w:sz w:val="20"/>
      <w:szCs w:val="20"/>
    </w:rPr>
  </w:style>
  <w:style w:type="paragraph" w:styleId="10">
    <w:name w:val="toc 8"/>
    <w:basedOn w:val="1"/>
    <w:next w:val="1"/>
    <w:autoRedefine/>
    <w:unhideWhenUsed/>
    <w:qFormat/>
    <w:uiPriority w:val="39"/>
    <w:pPr>
      <w:ind w:left="1680"/>
      <w:jc w:val="left"/>
    </w:pPr>
    <w:rPr>
      <w:rFonts w:asciiTheme="minorHAnsi" w:hAnsiTheme="minorHAnsi" w:cstheme="minorHAnsi"/>
      <w:sz w:val="18"/>
      <w:szCs w:val="18"/>
    </w:rPr>
  </w:style>
  <w:style w:type="paragraph" w:styleId="11">
    <w:name w:val="Date"/>
    <w:basedOn w:val="1"/>
    <w:next w:val="1"/>
    <w:link w:val="36"/>
    <w:unhideWhenUsed/>
    <w:qFormat/>
    <w:uiPriority w:val="99"/>
    <w:pPr>
      <w:ind w:left="100" w:leftChars="2500"/>
    </w:pPr>
    <w:rPr>
      <w:sz w:val="32"/>
      <w:szCs w:val="32"/>
    </w:rPr>
  </w:style>
  <w:style w:type="paragraph" w:styleId="12">
    <w:name w:val="Balloon Text"/>
    <w:basedOn w:val="1"/>
    <w:link w:val="34"/>
    <w:unhideWhenUsed/>
    <w:qFormat/>
    <w:uiPriority w:val="99"/>
    <w:rPr>
      <w:rFonts w:ascii="Heiti SC Light" w:eastAsia="Heiti SC Light"/>
      <w:sz w:val="18"/>
      <w:szCs w:val="18"/>
    </w:rPr>
  </w:style>
  <w:style w:type="paragraph" w:styleId="13">
    <w:name w:val="footer"/>
    <w:basedOn w:val="1"/>
    <w:link w:val="41"/>
    <w:unhideWhenUsed/>
    <w:qFormat/>
    <w:uiPriority w:val="99"/>
    <w:pPr>
      <w:tabs>
        <w:tab w:val="center" w:pos="4153"/>
        <w:tab w:val="right" w:pos="8306"/>
      </w:tabs>
      <w:snapToGrid w:val="0"/>
      <w:jc w:val="left"/>
    </w:pPr>
    <w:rPr>
      <w:sz w:val="18"/>
      <w:szCs w:val="18"/>
    </w:rPr>
  </w:style>
  <w:style w:type="paragraph" w:styleId="14">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spacing w:before="120" w:after="120"/>
      <w:jc w:val="left"/>
    </w:pPr>
    <w:rPr>
      <w:rFonts w:asciiTheme="minorHAnsi" w:hAnsiTheme="minorHAnsi" w:cstheme="minorHAnsi"/>
      <w:b/>
      <w:bCs/>
      <w:caps/>
      <w:sz w:val="20"/>
      <w:szCs w:val="20"/>
    </w:rPr>
  </w:style>
  <w:style w:type="paragraph" w:styleId="16">
    <w:name w:val="toc 4"/>
    <w:basedOn w:val="1"/>
    <w:next w:val="1"/>
    <w:autoRedefine/>
    <w:unhideWhenUsed/>
    <w:qFormat/>
    <w:uiPriority w:val="39"/>
    <w:pPr>
      <w:ind w:left="720"/>
      <w:jc w:val="left"/>
    </w:pPr>
    <w:rPr>
      <w:rFonts w:asciiTheme="minorHAnsi" w:hAnsiTheme="minorHAnsi" w:cstheme="minorHAnsi"/>
      <w:sz w:val="18"/>
      <w:szCs w:val="18"/>
    </w:rPr>
  </w:style>
  <w:style w:type="paragraph" w:styleId="17">
    <w:name w:val="toc 6"/>
    <w:basedOn w:val="1"/>
    <w:next w:val="1"/>
    <w:autoRedefine/>
    <w:unhideWhenUsed/>
    <w:qFormat/>
    <w:uiPriority w:val="39"/>
    <w:pPr>
      <w:ind w:left="1200"/>
      <w:jc w:val="left"/>
    </w:pPr>
    <w:rPr>
      <w:rFonts w:asciiTheme="minorHAnsi" w:hAnsiTheme="minorHAnsi" w:cstheme="minorHAnsi"/>
      <w:sz w:val="18"/>
      <w:szCs w:val="18"/>
    </w:rPr>
  </w:style>
  <w:style w:type="paragraph" w:styleId="18">
    <w:name w:val="toc 2"/>
    <w:basedOn w:val="1"/>
    <w:next w:val="1"/>
    <w:autoRedefine/>
    <w:unhideWhenUsed/>
    <w:qFormat/>
    <w:uiPriority w:val="39"/>
    <w:pPr>
      <w:ind w:left="240"/>
      <w:jc w:val="left"/>
    </w:pPr>
    <w:rPr>
      <w:rFonts w:asciiTheme="minorHAnsi" w:hAnsiTheme="minorHAnsi" w:cstheme="minorHAnsi"/>
      <w:smallCaps/>
      <w:sz w:val="20"/>
      <w:szCs w:val="20"/>
    </w:rPr>
  </w:style>
  <w:style w:type="paragraph" w:styleId="19">
    <w:name w:val="toc 9"/>
    <w:basedOn w:val="1"/>
    <w:next w:val="1"/>
    <w:autoRedefine/>
    <w:unhideWhenUsed/>
    <w:qFormat/>
    <w:uiPriority w:val="39"/>
    <w:pPr>
      <w:ind w:left="1920"/>
      <w:jc w:val="left"/>
    </w:pPr>
    <w:rPr>
      <w:rFonts w:asciiTheme="minorHAnsi" w:hAnsiTheme="minorHAnsi" w:cstheme="minorHAnsi"/>
      <w:sz w:val="18"/>
      <w:szCs w:val="1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21">
    <w:name w:val="annotation subject"/>
    <w:basedOn w:val="7"/>
    <w:next w:val="7"/>
    <w:link w:val="38"/>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000FF" w:themeColor="hyperlink"/>
      <w:u w:val="single"/>
      <w14:textFill>
        <w14:solidFill>
          <w14:schemeClr w14:val="hlink"/>
        </w14:solidFill>
      </w14:textFill>
    </w:rPr>
  </w:style>
  <w:style w:type="character" w:styleId="26">
    <w:name w:val="annotation reference"/>
    <w:basedOn w:val="24"/>
    <w:unhideWhenUsed/>
    <w:qFormat/>
    <w:uiPriority w:val="99"/>
    <w:rPr>
      <w:sz w:val="21"/>
      <w:szCs w:val="21"/>
    </w:rPr>
  </w:style>
  <w:style w:type="paragraph" w:customStyle="1" w:styleId="27">
    <w:name w:val="列出段落1"/>
    <w:basedOn w:val="1"/>
    <w:qFormat/>
    <w:uiPriority w:val="34"/>
    <w:pPr>
      <w:ind w:firstLine="420" w:firstLineChars="200"/>
    </w:pPr>
  </w:style>
  <w:style w:type="paragraph" w:customStyle="1" w:styleId="28">
    <w:name w:val="列出段落2"/>
    <w:basedOn w:val="1"/>
    <w:unhideWhenUsed/>
    <w:qFormat/>
    <w:uiPriority w:val="34"/>
    <w:pPr>
      <w:ind w:firstLine="420" w:firstLineChars="200"/>
    </w:pPr>
    <w:rPr>
      <w:sz w:val="21"/>
    </w:rPr>
  </w:style>
  <w:style w:type="paragraph" w:customStyle="1" w:styleId="29">
    <w:name w:val="列出段落3"/>
    <w:basedOn w:val="1"/>
    <w:qFormat/>
    <w:uiPriority w:val="34"/>
    <w:pPr>
      <w:ind w:firstLine="420" w:firstLineChars="200"/>
    </w:pPr>
  </w:style>
  <w:style w:type="paragraph" w:customStyle="1" w:styleId="30">
    <w:name w:val="修订1"/>
    <w:hidden/>
    <w:semiHidden/>
    <w:qFormat/>
    <w:uiPriority w:val="99"/>
    <w:rPr>
      <w:rFonts w:ascii="Cambria" w:hAnsi="Cambria" w:eastAsia="宋体" w:cs="黑体"/>
      <w:kern w:val="2"/>
      <w:sz w:val="24"/>
      <w:szCs w:val="24"/>
      <w:lang w:val="en-US" w:eastAsia="zh-CN" w:bidi="ar-SA"/>
    </w:rPr>
  </w:style>
  <w:style w:type="paragraph" w:customStyle="1" w:styleId="31">
    <w:name w:val="列出段落4"/>
    <w:basedOn w:val="1"/>
    <w:qFormat/>
    <w:uiPriority w:val="99"/>
    <w:pPr>
      <w:ind w:firstLine="420" w:firstLineChars="200"/>
    </w:pPr>
  </w:style>
  <w:style w:type="paragraph" w:customStyle="1" w:styleId="32">
    <w:name w:val="无间隔1"/>
    <w:basedOn w:val="1"/>
    <w:link w:val="42"/>
    <w:qFormat/>
    <w:uiPriority w:val="1"/>
    <w:pPr>
      <w:widowControl/>
      <w:ind w:left="-200" w:firstLine="357"/>
      <w:jc w:val="left"/>
    </w:pPr>
    <w:rPr>
      <w:rFonts w:cs="Times New Roman"/>
      <w:kern w:val="0"/>
      <w:szCs w:val="32"/>
    </w:rPr>
  </w:style>
  <w:style w:type="character" w:customStyle="1" w:styleId="33">
    <w:name w:val="标题 1 字符"/>
    <w:basedOn w:val="24"/>
    <w:link w:val="2"/>
    <w:qFormat/>
    <w:uiPriority w:val="9"/>
    <w:rPr>
      <w:b/>
      <w:bCs/>
      <w:kern w:val="44"/>
      <w:sz w:val="44"/>
      <w:szCs w:val="44"/>
    </w:rPr>
  </w:style>
  <w:style w:type="character" w:customStyle="1" w:styleId="34">
    <w:name w:val="批注框文本 字符"/>
    <w:basedOn w:val="24"/>
    <w:link w:val="12"/>
    <w:semiHidden/>
    <w:qFormat/>
    <w:uiPriority w:val="99"/>
    <w:rPr>
      <w:rFonts w:ascii="Heiti SC Light" w:eastAsia="Heiti SC Light"/>
      <w:sz w:val="18"/>
      <w:szCs w:val="18"/>
    </w:rPr>
  </w:style>
  <w:style w:type="character" w:customStyle="1" w:styleId="35">
    <w:name w:val="标题 2 字符"/>
    <w:basedOn w:val="24"/>
    <w:link w:val="3"/>
    <w:qFormat/>
    <w:uiPriority w:val="9"/>
    <w:rPr>
      <w:rFonts w:ascii="Calibri" w:hAnsi="Calibri" w:eastAsia="宋体" w:cs="黑体"/>
      <w:b/>
      <w:bCs/>
      <w:sz w:val="32"/>
      <w:szCs w:val="32"/>
    </w:rPr>
  </w:style>
  <w:style w:type="character" w:customStyle="1" w:styleId="36">
    <w:name w:val="日期 字符"/>
    <w:basedOn w:val="24"/>
    <w:link w:val="11"/>
    <w:qFormat/>
    <w:uiPriority w:val="99"/>
    <w:rPr>
      <w:sz w:val="32"/>
      <w:szCs w:val="32"/>
    </w:rPr>
  </w:style>
  <w:style w:type="character" w:customStyle="1" w:styleId="37">
    <w:name w:val="批注文字 字符"/>
    <w:basedOn w:val="24"/>
    <w:link w:val="7"/>
    <w:semiHidden/>
    <w:qFormat/>
    <w:uiPriority w:val="99"/>
    <w:rPr>
      <w:kern w:val="2"/>
      <w:sz w:val="24"/>
      <w:szCs w:val="24"/>
    </w:rPr>
  </w:style>
  <w:style w:type="character" w:customStyle="1" w:styleId="38">
    <w:name w:val="批注主题 字符"/>
    <w:basedOn w:val="37"/>
    <w:link w:val="21"/>
    <w:semiHidden/>
    <w:qFormat/>
    <w:uiPriority w:val="99"/>
    <w:rPr>
      <w:b/>
      <w:bCs/>
      <w:kern w:val="2"/>
      <w:sz w:val="24"/>
      <w:szCs w:val="24"/>
    </w:rPr>
  </w:style>
  <w:style w:type="character" w:customStyle="1" w:styleId="39">
    <w:name w:val="标题 3 字符"/>
    <w:basedOn w:val="24"/>
    <w:link w:val="4"/>
    <w:qFormat/>
    <w:uiPriority w:val="9"/>
    <w:rPr>
      <w:b/>
      <w:bCs/>
      <w:sz w:val="32"/>
      <w:szCs w:val="32"/>
    </w:rPr>
  </w:style>
  <w:style w:type="character" w:customStyle="1" w:styleId="40">
    <w:name w:val="页眉 字符"/>
    <w:basedOn w:val="24"/>
    <w:link w:val="14"/>
    <w:qFormat/>
    <w:uiPriority w:val="99"/>
    <w:rPr>
      <w:sz w:val="18"/>
      <w:szCs w:val="18"/>
    </w:rPr>
  </w:style>
  <w:style w:type="character" w:customStyle="1" w:styleId="41">
    <w:name w:val="页脚 字符"/>
    <w:basedOn w:val="24"/>
    <w:link w:val="13"/>
    <w:qFormat/>
    <w:uiPriority w:val="99"/>
    <w:rPr>
      <w:sz w:val="18"/>
      <w:szCs w:val="18"/>
    </w:rPr>
  </w:style>
  <w:style w:type="character" w:customStyle="1" w:styleId="42">
    <w:name w:val="无间隔 Char"/>
    <w:basedOn w:val="24"/>
    <w:link w:val="32"/>
    <w:qFormat/>
    <w:uiPriority w:val="1"/>
    <w:rPr>
      <w:rFonts w:cs="Times New Roman"/>
      <w:kern w:val="0"/>
      <w:szCs w:val="32"/>
    </w:rPr>
  </w:style>
  <w:style w:type="character" w:customStyle="1" w:styleId="43">
    <w:name w:val="文档结构图 字符"/>
    <w:basedOn w:val="24"/>
    <w:link w:val="6"/>
    <w:semiHidden/>
    <w:qFormat/>
    <w:uiPriority w:val="0"/>
    <w:rPr>
      <w:rFonts w:ascii="宋体" w:hAnsi="Cambria" w:cs="黑体"/>
      <w:kern w:val="2"/>
      <w:sz w:val="18"/>
      <w:szCs w:val="18"/>
    </w:rPr>
  </w:style>
  <w:style w:type="paragraph" w:customStyle="1" w:styleId="44">
    <w:name w:val="样式1"/>
    <w:basedOn w:val="1"/>
    <w:link w:val="46"/>
    <w:qFormat/>
    <w:uiPriority w:val="0"/>
    <w:pPr>
      <w:widowControl/>
      <w:adjustRightInd w:val="0"/>
      <w:snapToGrid w:val="0"/>
      <w:spacing w:line="600" w:lineRule="exact"/>
      <w:jc w:val="left"/>
      <w:textAlignment w:val="center"/>
    </w:pPr>
    <w:rPr>
      <w:rFonts w:ascii="楷体" w:hAnsi="楷体" w:eastAsia="楷体" w:cs="宋体"/>
      <w:color w:val="000000"/>
      <w:kern w:val="0"/>
      <w:sz w:val="32"/>
      <w:szCs w:val="32"/>
    </w:rPr>
  </w:style>
  <w:style w:type="paragraph" w:customStyle="1" w:styleId="45">
    <w:name w:val="样式2"/>
    <w:basedOn w:val="3"/>
    <w:link w:val="47"/>
    <w:qFormat/>
    <w:uiPriority w:val="0"/>
    <w:pPr>
      <w:spacing w:before="0" w:after="0" w:line="600" w:lineRule="exact"/>
    </w:pPr>
    <w:rPr>
      <w:rFonts w:ascii="仿宋_GB2312" w:hAnsi="华文仿宋" w:eastAsia="仿宋_GB2312"/>
      <w:kern w:val="0"/>
    </w:rPr>
  </w:style>
  <w:style w:type="character" w:customStyle="1" w:styleId="46">
    <w:name w:val="样式1 Char"/>
    <w:basedOn w:val="24"/>
    <w:link w:val="44"/>
    <w:qFormat/>
    <w:uiPriority w:val="0"/>
    <w:rPr>
      <w:rFonts w:ascii="楷体" w:hAnsi="楷体" w:eastAsia="楷体" w:cs="宋体"/>
      <w:color w:val="000000"/>
      <w:sz w:val="32"/>
      <w:szCs w:val="32"/>
    </w:rPr>
  </w:style>
  <w:style w:type="character" w:customStyle="1" w:styleId="47">
    <w:name w:val="样式2 Char"/>
    <w:basedOn w:val="35"/>
    <w:link w:val="45"/>
    <w:qFormat/>
    <w:uiPriority w:val="0"/>
    <w:rPr>
      <w:rFonts w:ascii="仿宋_GB2312" w:hAnsi="华文仿宋" w:eastAsia="仿宋_GB2312" w:cs="黑体"/>
      <w:sz w:val="32"/>
      <w:szCs w:val="32"/>
    </w:rPr>
  </w:style>
  <w:style w:type="paragraph" w:customStyle="1" w:styleId="48">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table" w:customStyle="1" w:styleId="49">
    <w:name w:val="网格型浅色1"/>
    <w:basedOn w:val="2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50">
    <w:name w:val="无格式表格 11"/>
    <w:basedOn w:val="22"/>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styleId="51">
    <w:name w:val="No Spacing"/>
    <w:qFormat/>
    <w:uiPriority w:val="1"/>
    <w:rPr>
      <w:rFonts w:asciiTheme="minorHAnsi" w:hAnsiTheme="minorHAnsi" w:eastAsiaTheme="minorEastAsia" w:cstheme="minorBidi"/>
      <w:sz w:val="22"/>
      <w:szCs w:val="22"/>
      <w:lang w:val="en-US" w:eastAsia="zh-CN" w:bidi="ar-SA"/>
    </w:rPr>
  </w:style>
  <w:style w:type="paragraph" w:styleId="52">
    <w:name w:val="List Paragraph"/>
    <w:basedOn w:val="1"/>
    <w:unhideWhenUsed/>
    <w:qFormat/>
    <w:uiPriority w:val="99"/>
    <w:pPr>
      <w:ind w:firstLine="420" w:firstLineChars="200"/>
    </w:pPr>
  </w:style>
  <w:style w:type="character" w:styleId="53">
    <w:name w:val="Placeholder Text"/>
    <w:basedOn w:val="24"/>
    <w:unhideWhenUsed/>
    <w:qFormat/>
    <w:uiPriority w:val="99"/>
    <w:rPr>
      <w:color w:val="808080"/>
    </w:rPr>
  </w:style>
  <w:style w:type="paragraph" w:customStyle="1" w:styleId="54">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2165-4CA2-430A-98B4-E46BAEE3E399}">
  <ds:schemaRefs/>
</ds:datastoreItem>
</file>

<file path=docProps/app.xml><?xml version="1.0" encoding="utf-8"?>
<Properties xmlns="http://schemas.openxmlformats.org/officeDocument/2006/extended-properties" xmlns:vt="http://schemas.openxmlformats.org/officeDocument/2006/docPropsVTypes">
  <Template>Normal.dotm</Template>
  <Company>北京邮电大学</Company>
  <Pages>15</Pages>
  <Words>8402</Words>
  <Characters>8696</Characters>
  <Lines>80</Lines>
  <Paragraphs>22</Paragraphs>
  <TotalTime>13</TotalTime>
  <ScaleCrop>false</ScaleCrop>
  <LinksUpToDate>false</LinksUpToDate>
  <CharactersWithSpaces>8770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2022-08-23T02:39:00Z</dcterms:created>
  <dc:creator>洵 谢</dc:creator>
  <cp:lastModifiedBy>密维</cp:lastModifiedBy>
  <cp:lastPrinted>2022-08-23T02:51:00Z</cp:lastPrinted>
  <dcterms:modified xsi:type="dcterms:W3CDTF">2024-06-04T08:31:25Z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9D51DD2E3FA44DCCBB892FF236B28A51</vt:lpwstr>
  </property>
</Properties>
</file>