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A97BE">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both"/>
        <w:textAlignment w:val="auto"/>
        <w:rPr>
          <w:rFonts w:hint="default" w:ascii="Times New Roman" w:hAnsi="Times New Roman" w:eastAsia="宋体" w:cs="Times New Roman"/>
          <w:snapToGrid w:val="0"/>
          <w:color w:val="auto"/>
          <w:kern w:val="0"/>
          <w:sz w:val="24"/>
          <w:szCs w:val="28"/>
        </w:rPr>
      </w:pPr>
      <w:bookmarkStart w:id="0" w:name="_Hlk138404823"/>
      <w:bookmarkStart w:id="1" w:name="_Toc24958"/>
      <w:bookmarkStart w:id="2" w:name="_Toc8970076"/>
      <w:bookmarkStart w:id="3" w:name="_Toc9007"/>
      <w:bookmarkStart w:id="4" w:name="_Toc8028251"/>
      <w:bookmarkStart w:id="5" w:name="_Toc246471293"/>
      <w:bookmarkStart w:id="6" w:name="_Toc255720937"/>
      <w:bookmarkStart w:id="7" w:name="_Toc12449008"/>
    </w:p>
    <w:p w14:paraId="4DF90C20">
      <w:pPr>
        <w:keepNext w:val="0"/>
        <w:keepLines w:val="0"/>
        <w:pageBreakBefore w:val="0"/>
        <w:widowControl w:val="0"/>
        <w:kinsoku/>
        <w:wordWrap/>
        <w:overflowPunct/>
        <w:topLinePunct w:val="0"/>
        <w:autoSpaceDE/>
        <w:autoSpaceDN/>
        <w:bidi w:val="0"/>
        <w:adjustRightInd/>
        <w:snapToGrid w:val="0"/>
        <w:spacing w:line="360" w:lineRule="auto"/>
        <w:ind w:firstLine="6240" w:firstLineChars="2600"/>
        <w:jc w:val="both"/>
        <w:textAlignment w:val="auto"/>
        <w:rPr>
          <w:rFonts w:hint="default" w:ascii="Times New Roman" w:hAnsi="Times New Roman" w:eastAsia="宋体" w:cs="Times New Roman"/>
          <w:snapToGrid w:val="0"/>
          <w:color w:val="auto"/>
          <w:kern w:val="0"/>
          <w:sz w:val="24"/>
          <w:szCs w:val="28"/>
          <w:lang w:val="en-US" w:eastAsia="zh-CN"/>
        </w:rPr>
      </w:pPr>
      <w:r>
        <w:rPr>
          <w:rFonts w:hint="default" w:ascii="Times New Roman" w:hAnsi="Times New Roman" w:eastAsia="宋体" w:cs="Times New Roman"/>
          <w:snapToGrid w:val="0"/>
          <w:color w:val="auto"/>
          <w:kern w:val="0"/>
          <w:sz w:val="24"/>
          <w:szCs w:val="28"/>
        </w:rPr>
        <w:t>准考证号</w:t>
      </w:r>
      <w:r>
        <w:rPr>
          <w:rFonts w:hint="eastAsia" w:ascii="Times New Roman" w:hAnsi="Times New Roman" w:eastAsia="宋体" w:cs="Times New Roman"/>
          <w:snapToGrid w:val="0"/>
          <w:color w:val="auto"/>
          <w:kern w:val="0"/>
          <w:sz w:val="24"/>
          <w:szCs w:val="28"/>
          <w:u w:val="single"/>
          <w:lang w:val="en-US" w:eastAsia="zh-CN"/>
        </w:rPr>
        <w:t xml:space="preserve">            </w:t>
      </w:r>
    </w:p>
    <w:p w14:paraId="3676C121">
      <w:pPr>
        <w:keepNext w:val="0"/>
        <w:keepLines w:val="0"/>
        <w:pageBreakBefore w:val="0"/>
        <w:widowControl w:val="0"/>
        <w:kinsoku/>
        <w:wordWrap/>
        <w:overflowPunct/>
        <w:topLinePunct w:val="0"/>
        <w:autoSpaceDE/>
        <w:autoSpaceDN/>
        <w:bidi w:val="0"/>
        <w:adjustRightInd/>
        <w:snapToGrid w:val="0"/>
        <w:spacing w:line="360" w:lineRule="auto"/>
        <w:ind w:firstLine="6240" w:firstLineChars="2600"/>
        <w:jc w:val="both"/>
        <w:textAlignment w:val="auto"/>
        <w:rPr>
          <w:rFonts w:hint="default" w:ascii="Times New Roman" w:hAnsi="Times New Roman" w:eastAsia="宋体" w:cs="Times New Roman"/>
          <w:snapToGrid w:val="0"/>
          <w:color w:val="auto"/>
          <w:kern w:val="0"/>
          <w:sz w:val="24"/>
          <w:szCs w:val="28"/>
          <w:u w:val="single"/>
        </w:rPr>
      </w:pPr>
      <w:r>
        <w:rPr>
          <w:rFonts w:hint="default" w:ascii="Times New Roman" w:hAnsi="Times New Roman" w:eastAsia="宋体" w:cs="Times New Roman"/>
          <w:snapToGrid w:val="0"/>
          <w:color w:val="auto"/>
          <w:kern w:val="0"/>
          <w:sz w:val="24"/>
          <w:szCs w:val="28"/>
        </w:rPr>
        <w:t>密    级</w:t>
      </w:r>
      <w:r>
        <w:rPr>
          <w:rFonts w:hint="default" w:ascii="Times New Roman" w:hAnsi="Times New Roman" w:eastAsia="宋体" w:cs="Times New Roman"/>
          <w:snapToGrid w:val="0"/>
          <w:color w:val="auto"/>
          <w:kern w:val="0"/>
          <w:sz w:val="24"/>
          <w:szCs w:val="28"/>
          <w:u w:val="single"/>
        </w:rPr>
        <w:t xml:space="preserve">            </w:t>
      </w:r>
    </w:p>
    <w:p w14:paraId="71C7427C">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both"/>
        <w:textAlignment w:val="auto"/>
        <w:rPr>
          <w:rFonts w:hint="eastAsia" w:ascii="Times New Roman" w:hAnsi="Times New Roman" w:eastAsia="宋体" w:cs="Times New Roman"/>
          <w:snapToGrid w:val="0"/>
          <w:color w:val="auto"/>
          <w:kern w:val="0"/>
          <w:sz w:val="24"/>
          <w:szCs w:val="28"/>
        </w:rPr>
      </w:pPr>
    </w:p>
    <w:p w14:paraId="5C1669C7">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both"/>
        <w:textAlignment w:val="auto"/>
        <w:rPr>
          <w:rFonts w:hint="eastAsia" w:ascii="Times New Roman" w:hAnsi="Times New Roman" w:eastAsia="宋体" w:cs="Times New Roman"/>
          <w:snapToGrid w:val="0"/>
          <w:color w:val="auto"/>
          <w:kern w:val="0"/>
          <w:sz w:val="24"/>
          <w:szCs w:val="28"/>
        </w:rPr>
      </w:pPr>
    </w:p>
    <w:p w14:paraId="42DF63C5">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both"/>
        <w:textAlignment w:val="auto"/>
        <w:rPr>
          <w:rFonts w:hint="eastAsia" w:ascii="Times New Roman" w:hAnsi="Times New Roman" w:eastAsia="宋体" w:cs="Times New Roman"/>
          <w:snapToGrid w:val="0"/>
          <w:color w:val="auto"/>
          <w:kern w:val="0"/>
          <w:sz w:val="24"/>
          <w:szCs w:val="28"/>
        </w:rPr>
      </w:pPr>
    </w:p>
    <w:p w14:paraId="4A0E9EA2">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color w:val="auto"/>
          <w:sz w:val="36"/>
          <w:szCs w:val="36"/>
        </w:rPr>
      </w:pPr>
      <w:r>
        <w:rPr>
          <w:rFonts w:hint="eastAsia" w:ascii="宋体" w:hAnsi="宋体" w:eastAsia="宋体" w:cs="宋体"/>
          <w:color w:val="auto"/>
          <w:sz w:val="36"/>
          <w:szCs w:val="36"/>
        </w:rPr>
        <w:t>哈尔滨工程大学高等教育自学考试本科生毕业论文</w:t>
      </w:r>
    </w:p>
    <w:p w14:paraId="333908DD">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both"/>
        <w:textAlignment w:val="auto"/>
        <w:rPr>
          <w:rFonts w:hint="default" w:ascii="Times New Roman" w:hAnsi="Times New Roman" w:eastAsia="宋体" w:cs="Times New Roman"/>
          <w:snapToGrid w:val="0"/>
          <w:color w:val="auto"/>
          <w:kern w:val="0"/>
          <w:sz w:val="24"/>
          <w:szCs w:val="28"/>
        </w:rPr>
      </w:pPr>
    </w:p>
    <w:p w14:paraId="2AA16D84">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both"/>
        <w:textAlignment w:val="auto"/>
        <w:rPr>
          <w:rFonts w:hint="default" w:ascii="Times New Roman" w:hAnsi="Times New Roman" w:eastAsia="宋体" w:cs="Times New Roman"/>
          <w:snapToGrid w:val="0"/>
          <w:color w:val="auto"/>
          <w:kern w:val="0"/>
          <w:sz w:val="24"/>
          <w:szCs w:val="28"/>
        </w:rPr>
      </w:pPr>
    </w:p>
    <w:p w14:paraId="770CE64F">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outlineLvl w:val="0"/>
        <w:rPr>
          <w:rFonts w:hint="default" w:ascii="Times New Roman" w:hAnsi="Times New Roman" w:eastAsia="黑体" w:cs="Times New Roman"/>
          <w:color w:val="auto"/>
          <w:sz w:val="44"/>
          <w:szCs w:val="44"/>
        </w:rPr>
      </w:pPr>
      <w:bookmarkStart w:id="8" w:name="_Toc3700"/>
      <w:r>
        <w:rPr>
          <w:rFonts w:hint="default" w:ascii="Times New Roman" w:hAnsi="Times New Roman" w:eastAsia="黑体" w:cs="Times New Roman"/>
          <w:bCs/>
          <w:snapToGrid w:val="0"/>
          <w:color w:val="auto"/>
          <w:kern w:val="0"/>
          <w:sz w:val="44"/>
          <w:szCs w:val="44"/>
        </w:rPr>
        <w:t>网络虚拟财产继承问题的法律规制研究</w:t>
      </w:r>
      <w:bookmarkEnd w:id="8"/>
    </w:p>
    <w:p w14:paraId="0135A5D5">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both"/>
        <w:textAlignment w:val="auto"/>
        <w:rPr>
          <w:rFonts w:hint="default" w:ascii="Times New Roman" w:hAnsi="Times New Roman" w:eastAsia="宋体" w:cs="Times New Roman"/>
          <w:snapToGrid w:val="0"/>
          <w:color w:val="auto"/>
          <w:kern w:val="0"/>
          <w:sz w:val="24"/>
          <w:szCs w:val="28"/>
        </w:rPr>
      </w:pPr>
    </w:p>
    <w:p w14:paraId="3C2CA4C3">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both"/>
        <w:textAlignment w:val="auto"/>
        <w:rPr>
          <w:rFonts w:hint="default" w:ascii="Times New Roman" w:hAnsi="Times New Roman" w:eastAsia="宋体" w:cs="Times New Roman"/>
          <w:snapToGrid w:val="0"/>
          <w:color w:val="auto"/>
          <w:kern w:val="0"/>
          <w:sz w:val="24"/>
          <w:szCs w:val="28"/>
        </w:rPr>
      </w:pPr>
    </w:p>
    <w:p w14:paraId="6DB19B96">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both"/>
        <w:textAlignment w:val="auto"/>
        <w:rPr>
          <w:rFonts w:hint="default" w:ascii="Times New Roman" w:hAnsi="Times New Roman" w:eastAsia="宋体" w:cs="Times New Roman"/>
          <w:snapToGrid w:val="0"/>
          <w:color w:val="auto"/>
          <w:kern w:val="0"/>
          <w:sz w:val="24"/>
          <w:szCs w:val="28"/>
        </w:rPr>
      </w:pPr>
    </w:p>
    <w:p w14:paraId="7A8C9F02">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both"/>
        <w:textAlignment w:val="auto"/>
        <w:rPr>
          <w:rFonts w:hint="default" w:ascii="Times New Roman" w:hAnsi="Times New Roman" w:eastAsia="宋体" w:cs="Times New Roman"/>
          <w:snapToGrid w:val="0"/>
          <w:color w:val="auto"/>
          <w:kern w:val="0"/>
          <w:sz w:val="24"/>
          <w:szCs w:val="28"/>
        </w:rPr>
      </w:pPr>
    </w:p>
    <w:p w14:paraId="03C70035">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both"/>
        <w:textAlignment w:val="auto"/>
        <w:rPr>
          <w:rFonts w:hint="default" w:ascii="Times New Roman" w:hAnsi="Times New Roman" w:eastAsia="宋体" w:cs="Times New Roman"/>
          <w:snapToGrid w:val="0"/>
          <w:color w:val="auto"/>
          <w:kern w:val="0"/>
          <w:sz w:val="24"/>
          <w:szCs w:val="28"/>
        </w:rPr>
      </w:pPr>
    </w:p>
    <w:p w14:paraId="2D96D3DA">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both"/>
        <w:textAlignment w:val="auto"/>
        <w:rPr>
          <w:rFonts w:hint="default" w:ascii="Times New Roman" w:hAnsi="Times New Roman" w:eastAsia="宋体" w:cs="Times New Roman"/>
          <w:snapToGrid w:val="0"/>
          <w:color w:val="auto"/>
          <w:kern w:val="0"/>
          <w:sz w:val="24"/>
          <w:szCs w:val="28"/>
        </w:rPr>
      </w:pPr>
    </w:p>
    <w:p w14:paraId="339342DB">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both"/>
        <w:textAlignment w:val="auto"/>
        <w:rPr>
          <w:rFonts w:hint="default" w:ascii="Times New Roman" w:hAnsi="Times New Roman" w:eastAsia="宋体" w:cs="Times New Roman"/>
          <w:snapToGrid w:val="0"/>
          <w:color w:val="auto"/>
          <w:kern w:val="0"/>
          <w:sz w:val="24"/>
          <w:szCs w:val="28"/>
        </w:rPr>
      </w:pPr>
    </w:p>
    <w:p w14:paraId="21E8A188">
      <w:pPr>
        <w:keepNext w:val="0"/>
        <w:keepLines w:val="0"/>
        <w:pageBreakBefore w:val="0"/>
        <w:widowControl w:val="0"/>
        <w:kinsoku/>
        <w:wordWrap/>
        <w:overflowPunct/>
        <w:topLinePunct w:val="0"/>
        <w:autoSpaceDE/>
        <w:autoSpaceDN/>
        <w:bidi w:val="0"/>
        <w:adjustRightInd/>
        <w:snapToGrid w:val="0"/>
        <w:spacing w:line="360" w:lineRule="auto"/>
        <w:ind w:firstLine="2700" w:firstLineChars="900"/>
        <w:jc w:val="left"/>
        <w:textAlignment w:val="auto"/>
        <w:rPr>
          <w:rFonts w:hint="default" w:ascii="Times New Roman" w:hAnsi="Times New Roman" w:eastAsia="宋体" w:cs="Times New Roman"/>
          <w:color w:val="auto"/>
          <w:sz w:val="30"/>
          <w:szCs w:val="30"/>
        </w:rPr>
      </w:pPr>
      <w:r>
        <w:rPr>
          <w:rFonts w:hint="default" w:ascii="Times New Roman" w:hAnsi="Times New Roman" w:eastAsia="宋体" w:cs="Times New Roman"/>
          <w:color w:val="auto"/>
          <w:sz w:val="30"/>
          <w:szCs w:val="30"/>
        </w:rPr>
        <w:t>专　业　名　称：法学</w:t>
      </w:r>
    </w:p>
    <w:p w14:paraId="5623104F">
      <w:pPr>
        <w:keepNext w:val="0"/>
        <w:keepLines w:val="0"/>
        <w:pageBreakBefore w:val="0"/>
        <w:widowControl w:val="0"/>
        <w:kinsoku/>
        <w:wordWrap/>
        <w:overflowPunct/>
        <w:topLinePunct w:val="0"/>
        <w:autoSpaceDE/>
        <w:autoSpaceDN/>
        <w:bidi w:val="0"/>
        <w:adjustRightInd/>
        <w:snapToGrid w:val="0"/>
        <w:spacing w:line="360" w:lineRule="auto"/>
        <w:ind w:firstLine="2700" w:firstLineChars="900"/>
        <w:jc w:val="left"/>
        <w:textAlignment w:val="auto"/>
        <w:rPr>
          <w:rFonts w:hint="default" w:ascii="Times New Roman" w:hAnsi="Times New Roman" w:eastAsia="宋体" w:cs="Times New Roman"/>
          <w:color w:val="auto"/>
          <w:sz w:val="30"/>
          <w:szCs w:val="30"/>
        </w:rPr>
      </w:pPr>
      <w:r>
        <w:rPr>
          <w:rFonts w:hint="default" w:ascii="Times New Roman" w:hAnsi="Times New Roman" w:eastAsia="宋体" w:cs="Times New Roman"/>
          <w:color w:val="auto"/>
          <w:sz w:val="30"/>
          <w:szCs w:val="30"/>
        </w:rPr>
        <w:t>学　生　姓　名：</w:t>
      </w:r>
    </w:p>
    <w:p w14:paraId="7FB4EAFE">
      <w:pPr>
        <w:keepNext w:val="0"/>
        <w:keepLines w:val="0"/>
        <w:pageBreakBefore w:val="0"/>
        <w:widowControl w:val="0"/>
        <w:kinsoku/>
        <w:wordWrap/>
        <w:overflowPunct/>
        <w:topLinePunct w:val="0"/>
        <w:autoSpaceDE/>
        <w:autoSpaceDN/>
        <w:bidi w:val="0"/>
        <w:adjustRightInd/>
        <w:snapToGrid w:val="0"/>
        <w:spacing w:line="360" w:lineRule="auto"/>
        <w:ind w:firstLine="2700" w:firstLineChars="900"/>
        <w:jc w:val="left"/>
        <w:textAlignment w:val="auto"/>
        <w:rPr>
          <w:rFonts w:hint="default" w:ascii="Times New Roman" w:hAnsi="Times New Roman" w:eastAsia="宋体" w:cs="Times New Roman"/>
          <w:color w:val="auto"/>
          <w:sz w:val="30"/>
          <w:szCs w:val="30"/>
        </w:rPr>
      </w:pPr>
      <w:r>
        <w:rPr>
          <w:rFonts w:hint="default" w:ascii="Times New Roman" w:hAnsi="Times New Roman" w:eastAsia="宋体" w:cs="Times New Roman"/>
          <w:color w:val="auto"/>
          <w:sz w:val="30"/>
          <w:szCs w:val="30"/>
        </w:rPr>
        <w:t>指　导　教　师：</w:t>
      </w:r>
    </w:p>
    <w:p w14:paraId="236D4144">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both"/>
        <w:textAlignment w:val="auto"/>
        <w:rPr>
          <w:rFonts w:hint="default" w:ascii="Times New Roman" w:hAnsi="Times New Roman" w:eastAsia="宋体" w:cs="Times New Roman"/>
          <w:snapToGrid w:val="0"/>
          <w:color w:val="auto"/>
          <w:kern w:val="0"/>
          <w:sz w:val="24"/>
          <w:szCs w:val="28"/>
        </w:rPr>
      </w:pPr>
    </w:p>
    <w:p w14:paraId="36B88897">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both"/>
        <w:textAlignment w:val="auto"/>
        <w:rPr>
          <w:rFonts w:hint="default" w:ascii="Times New Roman" w:hAnsi="Times New Roman" w:eastAsia="宋体" w:cs="Times New Roman"/>
          <w:snapToGrid w:val="0"/>
          <w:color w:val="auto"/>
          <w:kern w:val="0"/>
          <w:sz w:val="24"/>
          <w:szCs w:val="28"/>
        </w:rPr>
      </w:pPr>
    </w:p>
    <w:p w14:paraId="5CFCA35B">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both"/>
        <w:textAlignment w:val="auto"/>
        <w:rPr>
          <w:rFonts w:hint="default" w:ascii="Times New Roman" w:hAnsi="Times New Roman" w:eastAsia="宋体" w:cs="Times New Roman"/>
          <w:snapToGrid w:val="0"/>
          <w:color w:val="auto"/>
          <w:kern w:val="0"/>
          <w:sz w:val="24"/>
          <w:szCs w:val="28"/>
        </w:rPr>
      </w:pPr>
    </w:p>
    <w:p w14:paraId="7023900C">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outlineLvl w:val="0"/>
        <w:rPr>
          <w:rFonts w:hint="default" w:ascii="Times New Roman" w:hAnsi="Times New Roman" w:eastAsia="宋体" w:cs="Times New Roman"/>
          <w:color w:val="auto"/>
          <w:sz w:val="36"/>
          <w:szCs w:val="36"/>
        </w:rPr>
      </w:pPr>
      <w:bookmarkStart w:id="9" w:name="_Toc29097"/>
      <w:r>
        <w:rPr>
          <w:rFonts w:hint="eastAsia" w:ascii="楷体" w:hAnsi="楷体" w:eastAsia="楷体" w:cs="楷体"/>
          <w:snapToGrid w:val="0"/>
          <w:color w:val="auto"/>
          <w:kern w:val="0"/>
          <w:sz w:val="36"/>
          <w:szCs w:val="36"/>
        </w:rPr>
        <w:t>哈尔滨工程大学</w:t>
      </w:r>
      <w:bookmarkEnd w:id="9"/>
    </w:p>
    <w:p w14:paraId="1FC0E7B6">
      <w:pPr>
        <w:pStyle w:val="12"/>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center"/>
        <w:textAlignment w:val="auto"/>
        <w:rPr>
          <w:rFonts w:hint="default" w:ascii="Times New Roman" w:hAnsi="Times New Roman" w:eastAsia="宋体" w:cs="Times New Roman"/>
          <w:color w:val="auto"/>
          <w:sz w:val="30"/>
          <w:szCs w:val="30"/>
        </w:rPr>
        <w:sectPr>
          <w:footnotePr>
            <w:numFmt w:val="decimalEnclosedCircleChinese"/>
            <w:numRestart w:val="eachPage"/>
          </w:footnotePr>
          <w:endnotePr>
            <w:numFmt w:val="decimal"/>
          </w:endnotePr>
          <w:type w:val="continuous"/>
          <w:pgSz w:w="11905" w:h="16838"/>
          <w:pgMar w:top="1587" w:right="1417" w:bottom="1587" w:left="1417" w:header="1134" w:footer="1134" w:gutter="0"/>
          <w:pgBorders>
            <w:top w:val="none" w:sz="0" w:space="0"/>
            <w:left w:val="none" w:sz="0" w:space="0"/>
            <w:bottom w:val="none" w:sz="0" w:space="0"/>
            <w:right w:val="none" w:sz="0" w:space="0"/>
          </w:pgBorders>
          <w:pgNumType w:fmt="upperRoman" w:start="1"/>
          <w:cols w:space="0" w:num="1"/>
          <w:rtlGutter w:val="0"/>
          <w:docGrid w:linePitch="403" w:charSpace="0"/>
        </w:sectPr>
      </w:pPr>
      <w:r>
        <w:rPr>
          <w:rFonts w:hint="default" w:ascii="Times New Roman" w:hAnsi="Times New Roman" w:eastAsia="宋体" w:cs="Times New Roman"/>
          <w:color w:val="auto"/>
          <w:sz w:val="30"/>
          <w:szCs w:val="30"/>
        </w:rPr>
        <w:t>202</w:t>
      </w:r>
      <w:r>
        <w:rPr>
          <w:rFonts w:hint="default" w:ascii="Times New Roman" w:hAnsi="Times New Roman" w:eastAsia="宋体" w:cs="Times New Roman"/>
          <w:color w:val="auto"/>
          <w:sz w:val="30"/>
          <w:szCs w:val="30"/>
          <w:lang w:val="en-US" w:eastAsia="zh-CN"/>
        </w:rPr>
        <w:t>6</w:t>
      </w:r>
      <w:r>
        <w:rPr>
          <w:rFonts w:hint="default" w:ascii="Times New Roman" w:hAnsi="Times New Roman" w:eastAsia="宋体" w:cs="Times New Roman"/>
          <w:color w:val="auto"/>
          <w:sz w:val="30"/>
          <w:szCs w:val="30"/>
        </w:rPr>
        <w:t>年</w:t>
      </w:r>
      <w:r>
        <w:rPr>
          <w:rFonts w:hint="eastAsia" w:ascii="Times New Roman" w:hAnsi="Times New Roman" w:eastAsia="宋体" w:cs="Times New Roman"/>
          <w:color w:val="auto"/>
          <w:sz w:val="30"/>
          <w:szCs w:val="30"/>
          <w:lang w:val="en-US" w:eastAsia="zh-CN"/>
        </w:rPr>
        <w:t>12</w:t>
      </w:r>
      <w:r>
        <w:rPr>
          <w:rFonts w:hint="default" w:ascii="Times New Roman" w:hAnsi="Times New Roman" w:eastAsia="宋体" w:cs="Times New Roman"/>
          <w:color w:val="auto"/>
          <w:sz w:val="30"/>
          <w:szCs w:val="30"/>
        </w:rPr>
        <w:t>月</w:t>
      </w:r>
      <w:bookmarkEnd w:id="0"/>
    </w:p>
    <w:bookmarkEnd w:id="1"/>
    <w:bookmarkEnd w:id="2"/>
    <w:bookmarkEnd w:id="3"/>
    <w:p w14:paraId="1F8FDC3F">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0"/>
        <w:rPr>
          <w:rFonts w:hint="default" w:ascii="Times New Roman" w:hAnsi="Times New Roman" w:eastAsia="黑体" w:cs="Times New Roman"/>
          <w:color w:val="auto"/>
          <w:kern w:val="0"/>
          <w:sz w:val="44"/>
          <w:szCs w:val="44"/>
          <w:lang w:bidi="en-US"/>
        </w:rPr>
      </w:pPr>
      <w:bookmarkStart w:id="10" w:name="_Toc4004"/>
      <w:r>
        <w:rPr>
          <w:rFonts w:hint="default" w:ascii="Times New Roman" w:hAnsi="Times New Roman" w:eastAsia="黑体" w:cs="Times New Roman"/>
          <w:color w:val="auto"/>
          <w:kern w:val="0"/>
          <w:sz w:val="44"/>
          <w:szCs w:val="44"/>
          <w:lang w:bidi="en-US"/>
        </w:rPr>
        <w:t>哈尔滨工程大学高等教育自学考试</w:t>
      </w:r>
      <w:bookmarkEnd w:id="10"/>
    </w:p>
    <w:p w14:paraId="2176AA65">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0"/>
        <w:rPr>
          <w:rFonts w:hint="default" w:ascii="Times New Roman" w:hAnsi="Times New Roman" w:eastAsia="黑体" w:cs="Times New Roman"/>
          <w:color w:val="auto"/>
          <w:kern w:val="0"/>
          <w:sz w:val="44"/>
          <w:szCs w:val="44"/>
          <w:lang w:bidi="en-US"/>
        </w:rPr>
      </w:pPr>
      <w:bookmarkStart w:id="11" w:name="_Toc22163"/>
      <w:r>
        <w:rPr>
          <w:rFonts w:hint="default" w:ascii="Times New Roman" w:hAnsi="Times New Roman" w:eastAsia="黑体" w:cs="Times New Roman"/>
          <w:color w:val="auto"/>
          <w:kern w:val="0"/>
          <w:sz w:val="44"/>
          <w:szCs w:val="44"/>
          <w:lang w:bidi="en-US"/>
        </w:rPr>
        <w:t>本科学位论文原创性声明</w:t>
      </w:r>
      <w:bookmarkEnd w:id="11"/>
    </w:p>
    <w:p w14:paraId="6906CD04">
      <w:pPr>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default" w:ascii="Times New Roman" w:hAnsi="Times New Roman" w:eastAsia="宋体" w:cs="Times New Roman"/>
          <w:color w:val="auto"/>
          <w:sz w:val="24"/>
          <w:szCs w:val="20"/>
        </w:rPr>
      </w:pPr>
      <w:r>
        <w:rPr>
          <w:rFonts w:hint="default" w:ascii="Times New Roman" w:hAnsi="Times New Roman" w:eastAsia="宋体" w:cs="Times New Roman"/>
          <w:color w:val="auto"/>
          <w:sz w:val="24"/>
          <w:szCs w:val="20"/>
        </w:rPr>
        <w:t>本人郑重声明：本论文的所有工作，是在导师的指导下，由作者本人独立完成的。有关观点、方法、数据和文献的引用已在文中指出，并与参考文献相对应。除文中已注明引用的内容外，本论文不包含任何其他个人或集体已经公开发表的作品成果。对论文的研究做出重要贡献的个人和集体，均已在文中以明确方式标明。本人完全意识到本声明的法律结果由本人承担。</w:t>
      </w:r>
    </w:p>
    <w:p w14:paraId="13817BE3">
      <w:pPr>
        <w:keepNext w:val="0"/>
        <w:keepLines w:val="0"/>
        <w:pageBreakBefore w:val="0"/>
        <w:widowControl w:val="0"/>
        <w:kinsoku/>
        <w:wordWrap/>
        <w:overflowPunct/>
        <w:topLinePunct w:val="0"/>
        <w:autoSpaceDE/>
        <w:autoSpaceDN/>
        <w:bidi w:val="0"/>
        <w:adjustRightInd w:val="0"/>
        <w:snapToGrid w:val="0"/>
        <w:spacing w:line="560" w:lineRule="exact"/>
        <w:ind w:firstLine="6000" w:firstLineChars="2500"/>
        <w:textAlignment w:val="auto"/>
        <w:rPr>
          <w:rFonts w:hint="default" w:ascii="Times New Roman" w:hAnsi="Times New Roman" w:eastAsia="宋体" w:cs="Times New Roman"/>
          <w:color w:val="auto"/>
          <w:sz w:val="24"/>
          <w:szCs w:val="20"/>
        </w:rPr>
      </w:pPr>
      <w:r>
        <w:rPr>
          <w:rFonts w:hint="default" w:ascii="Times New Roman" w:hAnsi="Times New Roman" w:eastAsia="宋体" w:cs="Times New Roman"/>
          <w:color w:val="auto"/>
          <w:sz w:val="24"/>
          <w:szCs w:val="20"/>
        </w:rPr>
        <w:t>作者（签字）：</w:t>
      </w:r>
    </w:p>
    <w:p w14:paraId="3CFC34BE">
      <w:pPr>
        <w:keepNext w:val="0"/>
        <w:keepLines w:val="0"/>
        <w:pageBreakBefore w:val="0"/>
        <w:widowControl w:val="0"/>
        <w:kinsoku/>
        <w:wordWrap/>
        <w:overflowPunct/>
        <w:topLinePunct w:val="0"/>
        <w:autoSpaceDE/>
        <w:autoSpaceDN/>
        <w:bidi w:val="0"/>
        <w:adjustRightInd w:val="0"/>
        <w:snapToGrid w:val="0"/>
        <w:spacing w:line="560" w:lineRule="exact"/>
        <w:ind w:firstLine="6000" w:firstLineChars="2500"/>
        <w:textAlignment w:val="auto"/>
        <w:rPr>
          <w:rFonts w:hint="default" w:ascii="Times New Roman" w:hAnsi="Times New Roman" w:eastAsia="宋体" w:cs="Times New Roman"/>
          <w:color w:val="auto"/>
          <w:sz w:val="24"/>
          <w:szCs w:val="20"/>
        </w:rPr>
      </w:pPr>
      <w:r>
        <w:rPr>
          <w:rFonts w:hint="default" w:ascii="Times New Roman" w:hAnsi="Times New Roman" w:eastAsia="宋体" w:cs="Times New Roman"/>
          <w:color w:val="auto"/>
          <w:sz w:val="24"/>
          <w:szCs w:val="20"/>
        </w:rPr>
        <w:t>日期：</w:t>
      </w:r>
      <w:r>
        <w:rPr>
          <w:rFonts w:hint="default" w:ascii="Times New Roman" w:hAnsi="Times New Roman" w:eastAsia="宋体" w:cs="Times New Roman"/>
          <w:color w:val="auto"/>
          <w:sz w:val="24"/>
          <w:szCs w:val="28"/>
        </w:rPr>
        <w:t>202</w:t>
      </w:r>
      <w:r>
        <w:rPr>
          <w:rFonts w:hint="eastAsia" w:ascii="Times New Roman" w:hAnsi="Times New Roman" w:eastAsia="宋体" w:cs="Times New Roman"/>
          <w:color w:val="auto"/>
          <w:sz w:val="24"/>
          <w:szCs w:val="28"/>
          <w:lang w:val="en-US" w:eastAsia="zh-CN"/>
        </w:rPr>
        <w:t>6</w:t>
      </w:r>
      <w:r>
        <w:rPr>
          <w:rFonts w:hint="default" w:ascii="Times New Roman" w:hAnsi="Times New Roman" w:eastAsia="宋体" w:cs="Times New Roman"/>
          <w:color w:val="auto"/>
          <w:sz w:val="24"/>
          <w:szCs w:val="28"/>
        </w:rPr>
        <w:t>年</w:t>
      </w:r>
      <w:r>
        <w:rPr>
          <w:rFonts w:hint="eastAsia" w:ascii="Times New Roman" w:hAnsi="Times New Roman" w:eastAsia="宋体" w:cs="Times New Roman"/>
          <w:color w:val="auto"/>
          <w:sz w:val="24"/>
          <w:szCs w:val="28"/>
          <w:lang w:val="en-US" w:eastAsia="zh-CN"/>
        </w:rPr>
        <w:t>9</w:t>
      </w:r>
      <w:r>
        <w:rPr>
          <w:rFonts w:hint="default" w:ascii="Times New Roman" w:hAnsi="Times New Roman" w:eastAsia="宋体" w:cs="Times New Roman"/>
          <w:color w:val="auto"/>
          <w:sz w:val="24"/>
          <w:szCs w:val="28"/>
        </w:rPr>
        <w:t>月15日</w:t>
      </w:r>
    </w:p>
    <w:p w14:paraId="65EC18A0">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default" w:ascii="Times New Roman" w:hAnsi="Times New Roman" w:eastAsia="宋体" w:cs="Times New Roman"/>
          <w:color w:val="auto"/>
          <w:sz w:val="24"/>
          <w:szCs w:val="20"/>
        </w:rPr>
      </w:pPr>
    </w:p>
    <w:p w14:paraId="096984AC">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0"/>
        <w:rPr>
          <w:rFonts w:hint="default" w:ascii="Times New Roman" w:hAnsi="Times New Roman" w:eastAsia="黑体" w:cs="Times New Roman"/>
          <w:color w:val="auto"/>
          <w:kern w:val="0"/>
          <w:sz w:val="44"/>
          <w:szCs w:val="44"/>
          <w:lang w:bidi="en-US"/>
        </w:rPr>
      </w:pPr>
      <w:bookmarkStart w:id="12" w:name="_Toc30737"/>
      <w:r>
        <w:rPr>
          <w:rFonts w:hint="default" w:ascii="Times New Roman" w:hAnsi="Times New Roman" w:eastAsia="黑体" w:cs="Times New Roman"/>
          <w:color w:val="auto"/>
          <w:kern w:val="0"/>
          <w:sz w:val="44"/>
          <w:szCs w:val="44"/>
          <w:lang w:bidi="en-US"/>
        </w:rPr>
        <w:t>哈尔滨工程大学高等教育自学考试</w:t>
      </w:r>
      <w:bookmarkEnd w:id="12"/>
    </w:p>
    <w:p w14:paraId="5AD8CA66">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0"/>
        <w:rPr>
          <w:rFonts w:hint="default" w:ascii="Times New Roman" w:hAnsi="Times New Roman" w:eastAsia="黑体" w:cs="Times New Roman"/>
          <w:color w:val="auto"/>
          <w:kern w:val="0"/>
          <w:sz w:val="44"/>
          <w:szCs w:val="44"/>
          <w:lang w:bidi="en-US"/>
        </w:rPr>
      </w:pPr>
      <w:bookmarkStart w:id="13" w:name="_Toc26084"/>
      <w:r>
        <w:rPr>
          <w:rFonts w:hint="default" w:ascii="Times New Roman" w:hAnsi="Times New Roman" w:eastAsia="黑体" w:cs="Times New Roman"/>
          <w:color w:val="auto"/>
          <w:kern w:val="0"/>
          <w:sz w:val="44"/>
          <w:szCs w:val="44"/>
          <w:lang w:bidi="en-US"/>
        </w:rPr>
        <w:t>本科学位论文授权使用声明</w:t>
      </w:r>
      <w:bookmarkEnd w:id="13"/>
    </w:p>
    <w:p w14:paraId="1274A3DE">
      <w:pPr>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default" w:ascii="Times New Roman" w:hAnsi="Times New Roman" w:eastAsia="宋体" w:cs="Times New Roman"/>
          <w:color w:val="auto"/>
          <w:sz w:val="24"/>
          <w:szCs w:val="20"/>
        </w:rPr>
      </w:pPr>
      <w:r>
        <w:rPr>
          <w:rFonts w:hint="default" w:ascii="Times New Roman" w:hAnsi="Times New Roman" w:eastAsia="宋体" w:cs="Times New Roman"/>
          <w:color w:val="auto"/>
          <w:sz w:val="24"/>
          <w:szCs w:val="20"/>
        </w:rPr>
        <w:t>本人完全了解学校保护知识产权的有关规定，即在攻读学位期间论文工作的知识产权属于哈尔滨工程大学。哈尔滨工程大学有权保留并向国家有关部门或机构送交论文的复印件。本人允许哈尔滨工程大学将论文的部分或全部内容编入有关数据库进行检索，可采用影印、缩印或扫描等复制手段保存和汇编本学位论文，可以公布论文的全部内容。同时本人保证毕业后结合学位论文研究课题再撰写的论文一律注明作者第一署名单位为哈尔滨工程大学。涉密学位论文待解密后适用本声明。</w:t>
      </w:r>
    </w:p>
    <w:p w14:paraId="23473B7C">
      <w:pPr>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default" w:ascii="Times New Roman" w:hAnsi="Times New Roman" w:eastAsia="宋体" w:cs="Times New Roman"/>
          <w:color w:val="auto"/>
          <w:sz w:val="24"/>
          <w:szCs w:val="20"/>
        </w:rPr>
      </w:pPr>
      <w:r>
        <w:rPr>
          <w:rFonts w:hint="default" w:ascii="Times New Roman" w:hAnsi="Times New Roman" w:eastAsia="宋体" w:cs="Times New Roman"/>
          <w:color w:val="auto"/>
          <w:sz w:val="24"/>
          <w:szCs w:val="20"/>
        </w:rPr>
        <w:t>本论文(</w:t>
      </w:r>
      <w:r>
        <w:rPr>
          <w:rFonts w:hint="eastAsia" w:ascii="Times New Roman" w:hAnsi="Times New Roman" w:eastAsia="宋体" w:cs="Times New Roman"/>
          <w:color w:val="auto"/>
          <w:sz w:val="24"/>
          <w:szCs w:val="20"/>
          <w:lang w:eastAsia="zh-CN"/>
        </w:rPr>
        <w:t>□</w:t>
      </w:r>
      <w:r>
        <w:rPr>
          <w:rFonts w:hint="default" w:ascii="Times New Roman" w:hAnsi="Times New Roman" w:eastAsia="宋体" w:cs="Times New Roman"/>
          <w:color w:val="auto"/>
          <w:sz w:val="24"/>
          <w:szCs w:val="20"/>
        </w:rPr>
        <w:t xml:space="preserve">在授予学位后即可 </w:t>
      </w:r>
      <w:r>
        <w:rPr>
          <w:rFonts w:hint="eastAsia" w:ascii="Times New Roman" w:hAnsi="Times New Roman" w:eastAsia="宋体" w:cs="Times New Roman"/>
          <w:color w:val="auto"/>
          <w:sz w:val="24"/>
          <w:szCs w:val="20"/>
          <w:lang w:eastAsia="zh-CN"/>
        </w:rPr>
        <w:t>□</w:t>
      </w:r>
      <w:r>
        <w:rPr>
          <w:rFonts w:hint="default" w:ascii="Times New Roman" w:hAnsi="Times New Roman" w:eastAsia="宋体" w:cs="Times New Roman"/>
          <w:color w:val="auto"/>
          <w:sz w:val="24"/>
          <w:szCs w:val="20"/>
        </w:rPr>
        <w:t xml:space="preserve">在授予学位12个月后 </w:t>
      </w:r>
      <w:r>
        <w:rPr>
          <w:rFonts w:hint="eastAsia" w:ascii="Times New Roman" w:hAnsi="Times New Roman" w:eastAsia="宋体" w:cs="Times New Roman"/>
          <w:color w:val="auto"/>
          <w:sz w:val="24"/>
          <w:szCs w:val="20"/>
          <w:lang w:eastAsia="zh-CN"/>
        </w:rPr>
        <w:t>□</w:t>
      </w:r>
      <w:r>
        <w:rPr>
          <w:rFonts w:hint="default" w:ascii="Times New Roman" w:hAnsi="Times New Roman" w:eastAsia="宋体" w:cs="Times New Roman"/>
          <w:color w:val="auto"/>
          <w:sz w:val="24"/>
          <w:szCs w:val="20"/>
        </w:rPr>
        <w:t>解密后)由哈尔滨工程大学送交有关部门进行保存、汇编等。</w:t>
      </w:r>
    </w:p>
    <w:p w14:paraId="4A8EA0CB">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default" w:ascii="Times New Roman" w:hAnsi="Times New Roman" w:eastAsia="宋体" w:cs="Times New Roman"/>
          <w:color w:val="auto"/>
          <w:sz w:val="24"/>
          <w:szCs w:val="20"/>
        </w:rPr>
      </w:pPr>
    </w:p>
    <w:p w14:paraId="5B06AFF2">
      <w:pPr>
        <w:keepNext w:val="0"/>
        <w:keepLines w:val="0"/>
        <w:pageBreakBefore w:val="0"/>
        <w:widowControl w:val="0"/>
        <w:kinsoku/>
        <w:wordWrap/>
        <w:overflowPunct/>
        <w:topLinePunct w:val="0"/>
        <w:autoSpaceDE/>
        <w:autoSpaceDN/>
        <w:bidi w:val="0"/>
        <w:spacing w:line="560" w:lineRule="exact"/>
        <w:jc w:val="left"/>
        <w:textAlignment w:val="auto"/>
        <w:rPr>
          <w:rFonts w:hint="default" w:ascii="Times New Roman" w:hAnsi="Times New Roman" w:eastAsia="宋体" w:cs="Times New Roman"/>
          <w:color w:val="auto"/>
          <w:sz w:val="24"/>
          <w:szCs w:val="40"/>
        </w:rPr>
      </w:pPr>
      <w:r>
        <w:rPr>
          <w:rFonts w:hint="default" w:ascii="Times New Roman" w:hAnsi="Times New Roman" w:eastAsia="宋体" w:cs="Times New Roman"/>
          <w:color w:val="auto"/>
          <w:sz w:val="24"/>
          <w:szCs w:val="40"/>
        </w:rPr>
        <w:t xml:space="preserve">作者（签字）：                     </w:t>
      </w:r>
      <w:r>
        <w:rPr>
          <w:rFonts w:hint="eastAsia" w:ascii="Times New Roman" w:hAnsi="Times New Roman" w:eastAsia="宋体" w:cs="Times New Roman"/>
          <w:color w:val="auto"/>
          <w:sz w:val="24"/>
          <w:szCs w:val="40"/>
          <w:lang w:val="en-US" w:eastAsia="zh-CN"/>
        </w:rPr>
        <w:t xml:space="preserve">                </w:t>
      </w:r>
      <w:r>
        <w:rPr>
          <w:rFonts w:hint="default" w:ascii="Times New Roman" w:hAnsi="Times New Roman" w:eastAsia="宋体" w:cs="Times New Roman"/>
          <w:color w:val="auto"/>
          <w:sz w:val="24"/>
          <w:szCs w:val="40"/>
        </w:rPr>
        <w:t>导师（签字）：</w:t>
      </w:r>
    </w:p>
    <w:p w14:paraId="6F610E6B">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宋体" w:cs="Times New Roman"/>
          <w:color w:val="auto"/>
          <w:sz w:val="24"/>
          <w:szCs w:val="28"/>
        </w:rPr>
      </w:pPr>
      <w:r>
        <w:rPr>
          <w:rFonts w:hint="default" w:ascii="Times New Roman" w:hAnsi="Times New Roman" w:eastAsia="宋体" w:cs="Times New Roman"/>
          <w:color w:val="auto"/>
          <w:sz w:val="24"/>
          <w:szCs w:val="28"/>
        </w:rPr>
        <w:t>日期：202</w:t>
      </w:r>
      <w:r>
        <w:rPr>
          <w:rFonts w:hint="eastAsia" w:ascii="Times New Roman" w:hAnsi="Times New Roman" w:eastAsia="宋体" w:cs="Times New Roman"/>
          <w:color w:val="auto"/>
          <w:sz w:val="24"/>
          <w:szCs w:val="28"/>
          <w:lang w:val="en-US" w:eastAsia="zh-CN"/>
        </w:rPr>
        <w:t>6</w:t>
      </w:r>
      <w:r>
        <w:rPr>
          <w:rFonts w:hint="default" w:ascii="Times New Roman" w:hAnsi="Times New Roman" w:eastAsia="宋体" w:cs="Times New Roman"/>
          <w:color w:val="auto"/>
          <w:sz w:val="24"/>
          <w:szCs w:val="28"/>
        </w:rPr>
        <w:t>年</w:t>
      </w:r>
      <w:r>
        <w:rPr>
          <w:rFonts w:hint="eastAsia" w:ascii="Times New Roman" w:hAnsi="Times New Roman" w:eastAsia="宋体" w:cs="Times New Roman"/>
          <w:color w:val="auto"/>
          <w:sz w:val="24"/>
          <w:szCs w:val="28"/>
          <w:lang w:val="en-US" w:eastAsia="zh-CN"/>
        </w:rPr>
        <w:t>9</w:t>
      </w:r>
      <w:r>
        <w:rPr>
          <w:rFonts w:hint="default" w:ascii="Times New Roman" w:hAnsi="Times New Roman" w:eastAsia="宋体" w:cs="Times New Roman"/>
          <w:color w:val="auto"/>
          <w:sz w:val="24"/>
          <w:szCs w:val="28"/>
        </w:rPr>
        <w:t xml:space="preserve">月15日                     </w:t>
      </w:r>
      <w:r>
        <w:rPr>
          <w:rFonts w:hint="eastAsia" w:ascii="Times New Roman" w:hAnsi="Times New Roman" w:eastAsia="宋体" w:cs="Times New Roman"/>
          <w:color w:val="auto"/>
          <w:sz w:val="24"/>
          <w:szCs w:val="28"/>
          <w:lang w:val="en-US" w:eastAsia="zh-CN"/>
        </w:rPr>
        <w:t xml:space="preserve"> </w:t>
      </w:r>
      <w:r>
        <w:rPr>
          <w:rFonts w:hint="default" w:ascii="Times New Roman" w:hAnsi="Times New Roman" w:eastAsia="宋体" w:cs="Times New Roman"/>
          <w:color w:val="auto"/>
          <w:sz w:val="24"/>
          <w:szCs w:val="28"/>
        </w:rPr>
        <w:t xml:space="preserve">     </w:t>
      </w:r>
      <w:r>
        <w:rPr>
          <w:rFonts w:hint="eastAsia" w:ascii="Times New Roman" w:hAnsi="Times New Roman" w:eastAsia="宋体" w:cs="Times New Roman"/>
          <w:color w:val="auto"/>
          <w:sz w:val="24"/>
          <w:szCs w:val="28"/>
          <w:lang w:val="en-US" w:eastAsia="zh-CN"/>
        </w:rPr>
        <w:t xml:space="preserve">   </w:t>
      </w:r>
      <w:r>
        <w:rPr>
          <w:rFonts w:hint="default" w:ascii="Times New Roman" w:hAnsi="Times New Roman" w:eastAsia="宋体" w:cs="Times New Roman"/>
          <w:color w:val="auto"/>
          <w:sz w:val="24"/>
          <w:szCs w:val="28"/>
        </w:rPr>
        <w:t>日期：202</w:t>
      </w:r>
      <w:r>
        <w:rPr>
          <w:rFonts w:hint="eastAsia" w:ascii="Times New Roman" w:hAnsi="Times New Roman" w:eastAsia="宋体" w:cs="Times New Roman"/>
          <w:color w:val="auto"/>
          <w:sz w:val="24"/>
          <w:szCs w:val="28"/>
          <w:lang w:val="en-US" w:eastAsia="zh-CN"/>
        </w:rPr>
        <w:t>6</w:t>
      </w:r>
      <w:r>
        <w:rPr>
          <w:rFonts w:hint="default" w:ascii="Times New Roman" w:hAnsi="Times New Roman" w:eastAsia="宋体" w:cs="Times New Roman"/>
          <w:color w:val="auto"/>
          <w:sz w:val="24"/>
          <w:szCs w:val="28"/>
        </w:rPr>
        <w:t>年</w:t>
      </w:r>
      <w:r>
        <w:rPr>
          <w:rFonts w:hint="eastAsia" w:ascii="Times New Roman" w:hAnsi="Times New Roman" w:eastAsia="宋体" w:cs="Times New Roman"/>
          <w:color w:val="auto"/>
          <w:sz w:val="24"/>
          <w:szCs w:val="28"/>
          <w:lang w:val="en-US" w:eastAsia="zh-CN"/>
        </w:rPr>
        <w:t>9</w:t>
      </w:r>
      <w:bookmarkStart w:id="194" w:name="_GoBack"/>
      <w:bookmarkEnd w:id="194"/>
      <w:r>
        <w:rPr>
          <w:rFonts w:hint="default" w:ascii="Times New Roman" w:hAnsi="Times New Roman" w:eastAsia="宋体" w:cs="Times New Roman"/>
          <w:color w:val="auto"/>
          <w:sz w:val="24"/>
          <w:szCs w:val="28"/>
        </w:rPr>
        <w:t>月15日</w:t>
      </w:r>
    </w:p>
    <w:p w14:paraId="1CE99E60">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cs="Times New Roman"/>
          <w:color w:val="auto"/>
        </w:rPr>
        <w:sectPr>
          <w:footnotePr>
            <w:numFmt w:val="decimalEnclosedCircleChinese"/>
            <w:numRestart w:val="eachPage"/>
          </w:footnotePr>
          <w:endnotePr>
            <w:numFmt w:val="decimal"/>
          </w:endnotePr>
          <w:pgSz w:w="11905" w:h="16838"/>
          <w:pgMar w:top="1587" w:right="1417" w:bottom="1587" w:left="1417" w:header="1134" w:footer="1134" w:gutter="0"/>
          <w:pgBorders>
            <w:top w:val="none" w:sz="0" w:space="0"/>
            <w:left w:val="none" w:sz="0" w:space="0"/>
            <w:bottom w:val="none" w:sz="0" w:space="0"/>
            <w:right w:val="none" w:sz="0" w:space="0"/>
          </w:pgBorders>
          <w:pgNumType w:fmt="upperRoman" w:start="1"/>
          <w:cols w:space="0" w:num="1"/>
          <w:rtlGutter w:val="0"/>
          <w:docGrid w:linePitch="403" w:charSpace="0"/>
        </w:sectPr>
      </w:pPr>
    </w:p>
    <w:p w14:paraId="35ADA8BF">
      <w:pPr>
        <w:pageBreakBefore w:val="0"/>
        <w:widowControl w:val="0"/>
        <w:kinsoku/>
        <w:wordWrap/>
        <w:overflowPunct/>
        <w:topLinePunct w:val="0"/>
        <w:autoSpaceDE/>
        <w:autoSpaceDN/>
        <w:bidi w:val="0"/>
        <w:adjustRightInd w:val="0"/>
        <w:snapToGrid w:val="0"/>
        <w:spacing w:line="440" w:lineRule="atLeast"/>
        <w:jc w:val="left"/>
        <w:textAlignment w:val="auto"/>
        <w:rPr>
          <w:rFonts w:hint="default" w:ascii="Times New Roman" w:hAnsi="Times New Roman" w:cs="Times New Roman"/>
          <w:color w:val="auto"/>
        </w:rPr>
        <w:sectPr>
          <w:footnotePr>
            <w:numFmt w:val="decimalEnclosedCircleChinese"/>
            <w:numRestart w:val="eachPage"/>
          </w:footnotePr>
          <w:endnotePr>
            <w:numFmt w:val="decimal"/>
          </w:endnotePr>
          <w:type w:val="continuous"/>
          <w:pgSz w:w="11905" w:h="16838"/>
          <w:pgMar w:top="1587" w:right="1417" w:bottom="1587" w:left="1417" w:header="1134" w:footer="1134" w:gutter="0"/>
          <w:pgBorders>
            <w:top w:val="none" w:sz="0" w:space="0"/>
            <w:left w:val="none" w:sz="0" w:space="0"/>
            <w:bottom w:val="none" w:sz="0" w:space="0"/>
            <w:right w:val="none" w:sz="0" w:space="0"/>
          </w:pgBorders>
          <w:pgNumType w:fmt="upperRoman" w:start="1"/>
          <w:cols w:space="0" w:num="1"/>
          <w:rtlGutter w:val="0"/>
          <w:docGrid w:linePitch="403" w:charSpace="0"/>
        </w:sectPr>
      </w:pPr>
    </w:p>
    <w:bookmarkEnd w:id="4"/>
    <w:bookmarkEnd w:id="5"/>
    <w:bookmarkEnd w:id="6"/>
    <w:bookmarkEnd w:id="7"/>
    <w:p w14:paraId="7FDD0F69">
      <w:pPr>
        <w:pStyle w:val="2"/>
        <w:bidi w:val="0"/>
        <w:rPr>
          <w:rFonts w:hint="default" w:ascii="Times New Roman" w:hAnsi="Times New Roman" w:cs="Times New Roman"/>
          <w:color w:val="auto"/>
          <w:szCs w:val="36"/>
        </w:rPr>
      </w:pPr>
      <w:bookmarkStart w:id="14" w:name="_Toc4590"/>
      <w:bookmarkStart w:id="15" w:name="_Toc9531"/>
      <w:bookmarkStart w:id="16" w:name="_Toc174361279"/>
      <w:bookmarkStart w:id="17" w:name="_Toc7309"/>
      <w:bookmarkStart w:id="18" w:name="_Toc16521"/>
      <w:bookmarkStart w:id="19" w:name="_Toc3866"/>
      <w:bookmarkStart w:id="20" w:name="_Toc27612"/>
      <w:bookmarkStart w:id="21" w:name="_Toc25092"/>
      <w:bookmarkStart w:id="22" w:name="_Toc24530"/>
      <w:bookmarkStart w:id="23" w:name="_Toc19242"/>
      <w:bookmarkStart w:id="24" w:name="_Toc30495"/>
      <w:bookmarkStart w:id="25" w:name="_Toc7090"/>
      <w:bookmarkStart w:id="26" w:name="_Toc20618"/>
      <w:bookmarkStart w:id="27" w:name="_Toc1136"/>
      <w:bookmarkStart w:id="28" w:name="_Toc27952"/>
      <w:bookmarkStart w:id="29" w:name="_Toc2658"/>
      <w:bookmarkStart w:id="30" w:name="_Toc8204"/>
      <w:bookmarkStart w:id="31" w:name="_Toc23916"/>
      <w:bookmarkStart w:id="32" w:name="_Toc17907"/>
      <w:bookmarkStart w:id="33" w:name="_Toc24950"/>
      <w:bookmarkStart w:id="34" w:name="_Toc4212"/>
      <w:r>
        <w:rPr>
          <w:rFonts w:hint="default"/>
        </w:rPr>
        <w:t>摘  要</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8E1C0E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Times New Roman"/>
          <w:color w:val="auto"/>
          <w:sz w:val="24"/>
          <w:szCs w:val="20"/>
          <w:lang w:eastAsia="zh-CN"/>
        </w:rPr>
      </w:pPr>
      <w:r>
        <w:rPr>
          <w:rFonts w:hint="default" w:ascii="Times New Roman" w:hAnsi="Times New Roman" w:eastAsia="宋体" w:cs="Times New Roman"/>
          <w:color w:val="auto"/>
          <w:sz w:val="24"/>
          <w:szCs w:val="24"/>
        </w:rPr>
        <w:t>随着互联网经济的快速增长，网络虚拟财产在人们生活里的重要程度愈发明显，可是其法律属性和继承规则目前尚不明确，导致司法实践过程中出现诸多纷争</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本文</w:t>
      </w:r>
      <w:r>
        <w:rPr>
          <w:rFonts w:hint="default" w:ascii="Times New Roman" w:hAnsi="Times New Roman" w:eastAsia="宋体" w:cs="Times New Roman"/>
          <w:color w:val="auto"/>
          <w:sz w:val="24"/>
          <w:szCs w:val="24"/>
        </w:rPr>
        <w:t>以网络虚拟财产继承问题为核心展开研究，采用文献分析、比较研究跟案例分析手段，探究了虚拟财产的法律赋予属性、继承的正当性以及当前保护</w:t>
      </w:r>
      <w:r>
        <w:rPr>
          <w:rFonts w:hint="eastAsia" w:ascii="Times New Roman" w:hAnsi="Times New Roman" w:eastAsia="宋体" w:cs="Times New Roman"/>
          <w:color w:val="auto"/>
          <w:sz w:val="24"/>
          <w:szCs w:val="24"/>
          <w:lang w:val="en-US" w:eastAsia="zh-CN"/>
        </w:rPr>
        <w:t>等内容</w:t>
      </w:r>
      <w:r>
        <w:rPr>
          <w:rFonts w:hint="default" w:ascii="Times New Roman" w:hAnsi="Times New Roman" w:eastAsia="宋体" w:cs="Times New Roman"/>
          <w:color w:val="auto"/>
          <w:sz w:val="24"/>
          <w:szCs w:val="24"/>
        </w:rPr>
        <w:t>。针对</w:t>
      </w:r>
      <w:r>
        <w:rPr>
          <w:rFonts w:hint="eastAsia" w:ascii="Times New Roman" w:hAnsi="Times New Roman" w:eastAsia="宋体" w:cs="Times New Roman"/>
          <w:color w:val="auto"/>
          <w:sz w:val="24"/>
          <w:szCs w:val="24"/>
          <w:lang w:val="en-US" w:eastAsia="zh-CN"/>
        </w:rPr>
        <w:t>目前</w:t>
      </w:r>
      <w:r>
        <w:rPr>
          <w:rFonts w:hint="default" w:ascii="Times New Roman" w:hAnsi="Times New Roman" w:eastAsia="宋体" w:cs="Times New Roman"/>
          <w:color w:val="auto"/>
          <w:sz w:val="24"/>
          <w:szCs w:val="24"/>
        </w:rPr>
        <w:t>我国虚拟财产继承在立法及司法实践中出现的归属认定标准不明、财产价值评估机制缺失、继承与隐私保护有冲突等问题，提出了明确虚拟财产物权属性、建立第三方评估机构、划分虚拟财产类别以合理评估价值、优化举证责任分配等</w:t>
      </w:r>
      <w:r>
        <w:rPr>
          <w:rFonts w:hint="eastAsia" w:ascii="Times New Roman" w:hAnsi="Times New Roman" w:eastAsia="宋体" w:cs="Times New Roman"/>
          <w:color w:val="auto"/>
          <w:sz w:val="24"/>
          <w:szCs w:val="24"/>
          <w:lang w:val="en-US" w:eastAsia="zh-CN"/>
        </w:rPr>
        <w:t>相关</w:t>
      </w:r>
      <w:r>
        <w:rPr>
          <w:rFonts w:hint="default" w:ascii="Times New Roman" w:hAnsi="Times New Roman" w:eastAsia="宋体" w:cs="Times New Roman"/>
          <w:color w:val="auto"/>
          <w:sz w:val="24"/>
          <w:szCs w:val="24"/>
        </w:rPr>
        <w:t>完善建议，</w:t>
      </w:r>
      <w:r>
        <w:rPr>
          <w:rFonts w:hint="eastAsia" w:ascii="Times New Roman" w:hAnsi="Times New Roman" w:eastAsia="宋体" w:cs="Times New Roman"/>
          <w:color w:val="auto"/>
          <w:sz w:val="24"/>
          <w:szCs w:val="24"/>
          <w:lang w:val="en-US" w:eastAsia="zh-CN"/>
        </w:rPr>
        <w:t>以便更好的促进我国网络虚拟财产继承法律法规的完善，同时</w:t>
      </w:r>
      <w:r>
        <w:rPr>
          <w:rFonts w:hint="default" w:ascii="Times New Roman" w:hAnsi="Times New Roman" w:eastAsia="宋体" w:cs="Times New Roman"/>
          <w:color w:val="auto"/>
          <w:sz w:val="24"/>
          <w:szCs w:val="24"/>
        </w:rPr>
        <w:t>研究结果为我国虚拟财产继承制度的</w:t>
      </w:r>
      <w:r>
        <w:rPr>
          <w:rFonts w:hint="eastAsia" w:ascii="Times New Roman" w:hAnsi="Times New Roman" w:eastAsia="宋体" w:cs="Times New Roman"/>
          <w:color w:val="auto"/>
          <w:sz w:val="24"/>
          <w:szCs w:val="24"/>
          <w:lang w:val="en-US" w:eastAsia="zh-CN"/>
        </w:rPr>
        <w:t>有效更新和</w:t>
      </w:r>
      <w:r>
        <w:rPr>
          <w:rFonts w:hint="default" w:ascii="Times New Roman" w:hAnsi="Times New Roman" w:eastAsia="宋体" w:cs="Times New Roman"/>
          <w:color w:val="auto"/>
          <w:sz w:val="24"/>
          <w:szCs w:val="24"/>
        </w:rPr>
        <w:t>创建提供了理论支撑与实践路径</w:t>
      </w:r>
      <w:r>
        <w:rPr>
          <w:rFonts w:hint="eastAsia" w:ascii="Times New Roman" w:hAnsi="Times New Roman" w:eastAsia="宋体" w:cs="Times New Roman"/>
          <w:color w:val="auto"/>
          <w:sz w:val="24"/>
          <w:szCs w:val="24"/>
          <w:lang w:eastAsia="zh-CN"/>
        </w:rPr>
        <w:t>。</w:t>
      </w:r>
    </w:p>
    <w:p w14:paraId="4F90DBA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宋体" w:cs="Times New Roman"/>
          <w:color w:val="auto"/>
          <w:sz w:val="24"/>
          <w:szCs w:val="20"/>
        </w:rPr>
      </w:pPr>
    </w:p>
    <w:p w14:paraId="3D6F35C4">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color w:val="auto"/>
          <w:sz w:val="24"/>
          <w:szCs w:val="20"/>
        </w:rPr>
      </w:pPr>
      <w:r>
        <w:rPr>
          <w:rFonts w:hint="default" w:ascii="Times New Roman" w:hAnsi="Times New Roman" w:eastAsia="黑体" w:cs="Times New Roman"/>
          <w:b w:val="0"/>
          <w:bCs w:val="0"/>
          <w:color w:val="auto"/>
          <w:sz w:val="24"/>
          <w:szCs w:val="28"/>
        </w:rPr>
        <w:t>关键词</w:t>
      </w:r>
      <w:r>
        <w:rPr>
          <w:rFonts w:hint="eastAsia" w:ascii="Times New Roman" w:hAnsi="Times New Roman" w:eastAsia="黑体" w:cs="Times New Roman"/>
          <w:b w:val="0"/>
          <w:bCs w:val="0"/>
          <w:color w:val="auto"/>
          <w:sz w:val="24"/>
          <w:szCs w:val="24"/>
          <w:lang w:eastAsia="zh-CN"/>
        </w:rPr>
        <w:t>：</w:t>
      </w:r>
      <w:r>
        <w:rPr>
          <w:rFonts w:hint="default" w:ascii="Times New Roman" w:hAnsi="Times New Roman" w:eastAsia="宋体" w:cs="Times New Roman"/>
          <w:color w:val="auto"/>
          <w:sz w:val="24"/>
          <w:szCs w:val="20"/>
          <w:lang w:val="en-US" w:eastAsia="zh-CN"/>
        </w:rPr>
        <w:t>网络</w:t>
      </w:r>
      <w:r>
        <w:rPr>
          <w:rFonts w:hint="default" w:ascii="Times New Roman" w:hAnsi="Times New Roman" w:eastAsia="宋体" w:cs="Times New Roman"/>
          <w:color w:val="auto"/>
          <w:sz w:val="24"/>
          <w:szCs w:val="20"/>
        </w:rPr>
        <w:t>虚拟财产；立法规制；继承制度</w:t>
      </w:r>
    </w:p>
    <w:p w14:paraId="1C0900E4">
      <w:pPr>
        <w:pageBreakBefore w:val="0"/>
        <w:widowControl w:val="0"/>
        <w:kinsoku/>
        <w:wordWrap/>
        <w:overflowPunct/>
        <w:topLinePunct w:val="0"/>
        <w:autoSpaceDE/>
        <w:autoSpaceDN/>
        <w:bidi w:val="0"/>
        <w:spacing w:line="440" w:lineRule="atLeast"/>
        <w:textAlignment w:val="auto"/>
        <w:rPr>
          <w:rFonts w:hint="default" w:ascii="Times New Roman" w:hAnsi="Times New Roman" w:eastAsia="宋体" w:cs="Times New Roman"/>
          <w:color w:val="auto"/>
          <w:sz w:val="24"/>
          <w:szCs w:val="20"/>
        </w:rPr>
      </w:pPr>
    </w:p>
    <w:p w14:paraId="66FA68D9">
      <w:pPr>
        <w:pageBreakBefore w:val="0"/>
        <w:widowControl w:val="0"/>
        <w:kinsoku/>
        <w:wordWrap/>
        <w:overflowPunct/>
        <w:topLinePunct w:val="0"/>
        <w:autoSpaceDE/>
        <w:autoSpaceDN/>
        <w:bidi w:val="0"/>
        <w:spacing w:line="440" w:lineRule="atLeast"/>
        <w:textAlignment w:val="auto"/>
        <w:rPr>
          <w:rFonts w:hint="default" w:ascii="Times New Roman" w:hAnsi="Times New Roman" w:eastAsia="宋体" w:cs="Times New Roman"/>
          <w:color w:val="auto"/>
          <w:sz w:val="24"/>
          <w:szCs w:val="20"/>
        </w:rPr>
        <w:sectPr>
          <w:headerReference r:id="rId3" w:type="default"/>
          <w:footerReference r:id="rId5" w:type="default"/>
          <w:headerReference r:id="rId4" w:type="even"/>
          <w:footerReference r:id="rId6" w:type="even"/>
          <w:footnotePr>
            <w:numFmt w:val="decimalEnclosedCircleChinese"/>
            <w:numRestart w:val="eachPage"/>
          </w:footnotePr>
          <w:pgSz w:w="11905" w:h="16838"/>
          <w:pgMar w:top="1587" w:right="1417" w:bottom="1587" w:left="1417" w:header="1134" w:footer="1134" w:gutter="0"/>
          <w:pgBorders>
            <w:top w:val="none" w:sz="0" w:space="0"/>
            <w:left w:val="none" w:sz="0" w:space="0"/>
            <w:bottom w:val="none" w:sz="0" w:space="0"/>
            <w:right w:val="none" w:sz="0" w:space="0"/>
          </w:pgBorders>
          <w:pgNumType w:fmt="upperRoman" w:start="1"/>
          <w:cols w:space="0" w:num="1"/>
          <w:rtlGutter w:val="0"/>
          <w:docGrid w:linePitch="312" w:charSpace="0"/>
        </w:sectPr>
      </w:pPr>
    </w:p>
    <w:p w14:paraId="71326643">
      <w:pPr>
        <w:pStyle w:val="2"/>
        <w:keepNext w:val="0"/>
        <w:keepLines w:val="0"/>
        <w:pageBreakBefore w:val="0"/>
        <w:widowControl w:val="0"/>
        <w:kinsoku/>
        <w:wordWrap/>
        <w:overflowPunct/>
        <w:topLinePunct w:val="0"/>
        <w:autoSpaceDE/>
        <w:autoSpaceDN/>
        <w:bidi w:val="0"/>
        <w:adjustRightInd/>
        <w:snapToGrid/>
        <w:spacing w:before="312" w:beforeLines="100" w:after="312" w:afterLines="100" w:line="440" w:lineRule="exact"/>
        <w:textAlignment w:val="auto"/>
        <w:rPr>
          <w:rFonts w:hint="default" w:ascii="Times New Roman" w:hAnsi="Times New Roman" w:cs="Times New Roman"/>
          <w:b/>
          <w:bCs/>
          <w:color w:val="auto"/>
          <w:szCs w:val="20"/>
        </w:rPr>
      </w:pPr>
      <w:bookmarkStart w:id="35" w:name="_Toc28847"/>
      <w:bookmarkStart w:id="36" w:name="_Toc16441"/>
      <w:bookmarkStart w:id="37" w:name="_Toc135407578"/>
      <w:bookmarkStart w:id="38" w:name="_Toc25861"/>
      <w:bookmarkStart w:id="39" w:name="_Toc174361280"/>
      <w:bookmarkStart w:id="40" w:name="_Toc5925"/>
      <w:bookmarkStart w:id="41" w:name="_Toc29942"/>
      <w:bookmarkStart w:id="42" w:name="_Toc8467"/>
      <w:bookmarkStart w:id="43" w:name="_Toc10967"/>
      <w:bookmarkStart w:id="44" w:name="_Toc18859"/>
      <w:bookmarkStart w:id="45" w:name="_Toc31506"/>
      <w:bookmarkStart w:id="46" w:name="_Toc27797"/>
      <w:bookmarkStart w:id="47" w:name="_Toc23533"/>
      <w:bookmarkStart w:id="48" w:name="_Toc2135"/>
      <w:bookmarkStart w:id="49" w:name="_Toc28637"/>
      <w:bookmarkStart w:id="50" w:name="_Toc3704"/>
      <w:bookmarkStart w:id="51" w:name="_Toc23114"/>
      <w:bookmarkStart w:id="52" w:name="_Toc139934685"/>
      <w:bookmarkStart w:id="53" w:name="_Toc8559"/>
      <w:bookmarkStart w:id="54" w:name="_Toc2015"/>
      <w:bookmarkStart w:id="55" w:name="_Toc17342"/>
      <w:bookmarkStart w:id="56" w:name="_Toc139934743"/>
      <w:bookmarkStart w:id="57" w:name="_Toc2637"/>
      <w:bookmarkStart w:id="58" w:name="_Toc174361281"/>
      <w:r>
        <w:rPr>
          <w:rFonts w:hint="default" w:ascii="Times New Roman" w:hAnsi="Times New Roman" w:cs="Times New Roman"/>
          <w:b/>
          <w:bCs/>
          <w:color w:val="auto"/>
          <w:szCs w:val="20"/>
        </w:rPr>
        <w:t>ABSTRACT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87AA6A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宋体" w:cs="Times New Roman"/>
          <w:color w:val="auto"/>
          <w:sz w:val="24"/>
          <w:szCs w:val="20"/>
        </w:rPr>
      </w:pPr>
      <w:r>
        <w:rPr>
          <w:rFonts w:hint="default" w:ascii="Times New Roman" w:hAnsi="Times New Roman" w:eastAsia="宋体" w:cs="Times New Roman"/>
          <w:color w:val="auto"/>
          <w:sz w:val="24"/>
          <w:szCs w:val="20"/>
        </w:rPr>
        <w:t>With the rapid growth of the Internet economy, the importance of online virtual property in people's lives has become increasingly apparent. However, its legal attributes and inheritance rules are still unclear, leading to many disputes in the judicial practice. This article focuses on the issue of inheritance of virtual property on the internet, using literature analysis, comparative research, and case analysis methods to explore the legal attributes of virtual property, the legitimacy of inheritance, and current protection. In response to the problems of unclear attribution criteria, lack of property value assessment mechanisms, and conflicts between inheritance and privacy protection in the current legislation and judicial practice of virtual property inheritance in China, relevant improvement suggestions have been proposed, such as clarifying the property rights attributes of virtual property, establishing third-party evaluation institutions, dividing virtual property categories for reasonable value assessment, optimizing the allocation of burden of proof, etc., in order to better promote the improvement of China's laws and regulations on virtual property inheritance on the internet. At the same time, the research results provide theoretical support and practical paths for the effective updating and creation of China's virtual property inheritance system.</w:t>
      </w:r>
    </w:p>
    <w:p w14:paraId="504515C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宋体" w:cs="Times New Roman"/>
          <w:color w:val="auto"/>
          <w:sz w:val="24"/>
          <w:szCs w:val="20"/>
        </w:rPr>
      </w:pPr>
    </w:p>
    <w:p w14:paraId="7F3307AF">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color w:val="auto"/>
          <w:sz w:val="24"/>
          <w:szCs w:val="20"/>
        </w:rPr>
        <w:sectPr>
          <w:headerReference r:id="rId7" w:type="default"/>
          <w:footerReference r:id="rId9" w:type="default"/>
          <w:headerReference r:id="rId8" w:type="even"/>
          <w:footnotePr>
            <w:numFmt w:val="decimalEnclosedCircleChinese"/>
            <w:numRestart w:val="eachPage"/>
          </w:footnotePr>
          <w:pgSz w:w="11905" w:h="16838"/>
          <w:pgMar w:top="1587" w:right="1417" w:bottom="1587" w:left="1417" w:header="1134" w:footer="1134" w:gutter="0"/>
          <w:pgBorders>
            <w:top w:val="none" w:sz="0" w:space="0"/>
            <w:left w:val="none" w:sz="0" w:space="0"/>
            <w:bottom w:val="none" w:sz="0" w:space="0"/>
            <w:right w:val="none" w:sz="0" w:space="0"/>
          </w:pgBorders>
          <w:pgNumType w:fmt="upperRoman"/>
          <w:cols w:space="0" w:num="1"/>
          <w:rtlGutter w:val="0"/>
          <w:docGrid w:linePitch="312" w:charSpace="0"/>
        </w:sectPr>
      </w:pPr>
      <w:r>
        <w:rPr>
          <w:rFonts w:hint="default" w:ascii="Times New Roman" w:hAnsi="Times New Roman" w:eastAsia="宋体" w:cs="Times New Roman"/>
          <w:b/>
          <w:bCs/>
          <w:color w:val="auto"/>
          <w:sz w:val="24"/>
          <w:szCs w:val="20"/>
        </w:rPr>
        <w:t>Key</w:t>
      </w:r>
      <w:r>
        <w:rPr>
          <w:rFonts w:hint="eastAsia" w:ascii="Times New Roman" w:hAnsi="Times New Roman" w:eastAsia="宋体" w:cs="Times New Roman"/>
          <w:b/>
          <w:bCs/>
          <w:color w:val="auto"/>
          <w:sz w:val="24"/>
          <w:szCs w:val="20"/>
          <w:lang w:val="en-US" w:eastAsia="zh-CN"/>
        </w:rPr>
        <w:t xml:space="preserve"> </w:t>
      </w:r>
      <w:r>
        <w:rPr>
          <w:rFonts w:hint="default" w:ascii="Times New Roman" w:hAnsi="Times New Roman" w:eastAsia="宋体" w:cs="Times New Roman"/>
          <w:b/>
          <w:bCs/>
          <w:color w:val="auto"/>
          <w:sz w:val="24"/>
          <w:szCs w:val="20"/>
        </w:rPr>
        <w:t>words:</w:t>
      </w:r>
      <w:r>
        <w:rPr>
          <w:rFonts w:hint="eastAsia" w:ascii="Times New Roman" w:hAnsi="Times New Roman" w:eastAsia="宋体" w:cs="Times New Roman"/>
          <w:b/>
          <w:bCs/>
          <w:color w:val="auto"/>
          <w:sz w:val="24"/>
          <w:szCs w:val="20"/>
          <w:lang w:val="en-US" w:eastAsia="zh-CN"/>
        </w:rPr>
        <w:t xml:space="preserve"> </w:t>
      </w:r>
      <w:r>
        <w:rPr>
          <w:rFonts w:hint="default" w:ascii="Times New Roman" w:hAnsi="Times New Roman" w:eastAsia="宋体" w:cs="Times New Roman"/>
          <w:color w:val="auto"/>
          <w:sz w:val="24"/>
          <w:szCs w:val="20"/>
        </w:rPr>
        <w:t>Network virtual property; Legislative regulation; Inheritance system</w:t>
      </w:r>
    </w:p>
    <w:p w14:paraId="244D6066">
      <w:pPr>
        <w:pStyle w:val="2"/>
        <w:keepNext/>
        <w:keepLines/>
        <w:pageBreakBefore w:val="0"/>
        <w:widowControl w:val="0"/>
        <w:kinsoku/>
        <w:wordWrap/>
        <w:overflowPunct/>
        <w:topLinePunct w:val="0"/>
        <w:autoSpaceDE/>
        <w:autoSpaceDN/>
        <w:bidi w:val="0"/>
        <w:adjustRightInd/>
        <w:snapToGrid/>
        <w:spacing w:before="313" w:beforeLines="100" w:after="313" w:afterLines="100" w:line="440" w:lineRule="exact"/>
        <w:textAlignment w:val="auto"/>
      </w:pPr>
      <w:r>
        <w:t>目</w:t>
      </w:r>
      <w:r>
        <w:rPr>
          <w:rFonts w:hint="eastAsia"/>
          <w:lang w:val="en-US" w:eastAsia="zh-CN"/>
        </w:rPr>
        <w:t xml:space="preserve">  </w:t>
      </w:r>
      <w:r>
        <w:t>录</w:t>
      </w:r>
    </w:p>
    <w:p w14:paraId="07262E95">
      <w:pPr>
        <w:pStyle w:val="15"/>
        <w:tabs>
          <w:tab w:val="right" w:leader="dot" w:pos="9071"/>
        </w:tabs>
      </w:pPr>
      <w:r>
        <w:rPr>
          <w:rFonts w:hint="default" w:ascii="Times New Roman" w:hAnsi="Times New Roman" w:eastAsia="宋体" w:cs="Times New Roman"/>
          <w:color w:val="auto"/>
          <w:sz w:val="24"/>
          <w:szCs w:val="20"/>
        </w:rPr>
        <w:fldChar w:fldCharType="begin"/>
      </w:r>
      <w:r>
        <w:rPr>
          <w:rFonts w:hint="default" w:ascii="Times New Roman" w:hAnsi="Times New Roman" w:eastAsia="宋体" w:cs="Times New Roman"/>
          <w:color w:val="auto"/>
          <w:sz w:val="24"/>
          <w:szCs w:val="20"/>
        </w:rPr>
        <w:instrText xml:space="preserve">TOC \o "1-3" \h \u </w:instrText>
      </w:r>
      <w:r>
        <w:rPr>
          <w:rFonts w:hint="default" w:ascii="Times New Roman" w:hAnsi="Times New Roman" w:eastAsia="宋体" w:cs="Times New Roman"/>
          <w:color w:val="auto"/>
          <w:sz w:val="24"/>
          <w:szCs w:val="20"/>
        </w:rPr>
        <w:fldChar w:fldCharType="separate"/>
      </w: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_Toc29521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第1章 绪论</w:t>
      </w:r>
      <w:r>
        <w:tab/>
      </w:r>
      <w:r>
        <w:fldChar w:fldCharType="begin"/>
      </w:r>
      <w:r>
        <w:instrText xml:space="preserve"> PAGEREF _Toc29521 \h </w:instrText>
      </w:r>
      <w:r>
        <w:fldChar w:fldCharType="separate"/>
      </w:r>
      <w:r>
        <w:t>1</w:t>
      </w:r>
      <w:r>
        <w:fldChar w:fldCharType="end"/>
      </w:r>
      <w:r>
        <w:rPr>
          <w:rFonts w:hint="default" w:ascii="Times New Roman" w:hAnsi="Times New Roman" w:eastAsia="宋体" w:cs="Times New Roman"/>
          <w:color w:val="auto"/>
          <w:szCs w:val="20"/>
        </w:rPr>
        <w:fldChar w:fldCharType="end"/>
      </w:r>
    </w:p>
    <w:p w14:paraId="0FBD1CEF">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_Toc2664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1.1 研究背景</w:t>
      </w:r>
      <w:r>
        <w:tab/>
      </w:r>
      <w:r>
        <w:fldChar w:fldCharType="begin"/>
      </w:r>
      <w:r>
        <w:instrText xml:space="preserve"> PAGEREF _Toc2664 \h </w:instrText>
      </w:r>
      <w:r>
        <w:fldChar w:fldCharType="separate"/>
      </w:r>
      <w:r>
        <w:t>1</w:t>
      </w:r>
      <w:r>
        <w:fldChar w:fldCharType="end"/>
      </w:r>
      <w:r>
        <w:rPr>
          <w:rFonts w:hint="default" w:ascii="Times New Roman" w:hAnsi="Times New Roman" w:eastAsia="宋体" w:cs="Times New Roman"/>
          <w:color w:val="auto"/>
          <w:szCs w:val="20"/>
        </w:rPr>
        <w:fldChar w:fldCharType="end"/>
      </w:r>
    </w:p>
    <w:p w14:paraId="6AF06BC0">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_Toc9615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1.2 研究目的及意义</w:t>
      </w:r>
      <w:r>
        <w:tab/>
      </w:r>
      <w:r>
        <w:fldChar w:fldCharType="begin"/>
      </w:r>
      <w:r>
        <w:instrText xml:space="preserve"> PAGEREF _Toc9615 \h </w:instrText>
      </w:r>
      <w:r>
        <w:fldChar w:fldCharType="separate"/>
      </w:r>
      <w:r>
        <w:t>1</w:t>
      </w:r>
      <w:r>
        <w:fldChar w:fldCharType="end"/>
      </w:r>
      <w:r>
        <w:rPr>
          <w:rFonts w:hint="default" w:ascii="Times New Roman" w:hAnsi="Times New Roman" w:eastAsia="宋体" w:cs="Times New Roman"/>
          <w:color w:val="auto"/>
          <w:szCs w:val="20"/>
        </w:rPr>
        <w:fldChar w:fldCharType="end"/>
      </w:r>
    </w:p>
    <w:p w14:paraId="6521A3FC">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_Toc4554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1.2.1 研究目的</w:t>
      </w:r>
      <w:r>
        <w:tab/>
      </w:r>
      <w:r>
        <w:fldChar w:fldCharType="begin"/>
      </w:r>
      <w:r>
        <w:instrText xml:space="preserve"> PAGEREF _Toc4554 \h </w:instrText>
      </w:r>
      <w:r>
        <w:fldChar w:fldCharType="separate"/>
      </w:r>
      <w:r>
        <w:t>1</w:t>
      </w:r>
      <w:r>
        <w:fldChar w:fldCharType="end"/>
      </w:r>
      <w:r>
        <w:rPr>
          <w:rFonts w:hint="default" w:ascii="Times New Roman" w:hAnsi="Times New Roman" w:eastAsia="宋体" w:cs="Times New Roman"/>
          <w:color w:val="auto"/>
          <w:szCs w:val="20"/>
        </w:rPr>
        <w:fldChar w:fldCharType="end"/>
      </w:r>
    </w:p>
    <w:p w14:paraId="2441278F">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_Toc14139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1.2.2 研究意义</w:t>
      </w:r>
      <w:r>
        <w:tab/>
      </w:r>
      <w:r>
        <w:fldChar w:fldCharType="begin"/>
      </w:r>
      <w:r>
        <w:instrText xml:space="preserve"> PAGEREF _Toc14139 \h </w:instrText>
      </w:r>
      <w:r>
        <w:fldChar w:fldCharType="separate"/>
      </w:r>
      <w:r>
        <w:t>1</w:t>
      </w:r>
      <w:r>
        <w:fldChar w:fldCharType="end"/>
      </w:r>
      <w:r>
        <w:rPr>
          <w:rFonts w:hint="default" w:ascii="Times New Roman" w:hAnsi="Times New Roman" w:eastAsia="宋体" w:cs="Times New Roman"/>
          <w:color w:val="auto"/>
          <w:szCs w:val="20"/>
        </w:rPr>
        <w:fldChar w:fldCharType="end"/>
      </w:r>
    </w:p>
    <w:p w14:paraId="1F676CF0">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_Toc24302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1.3 国内外研究现状</w:t>
      </w:r>
      <w:r>
        <w:tab/>
      </w:r>
      <w:r>
        <w:fldChar w:fldCharType="begin"/>
      </w:r>
      <w:r>
        <w:instrText xml:space="preserve"> PAGEREF _Toc24302 \h </w:instrText>
      </w:r>
      <w:r>
        <w:fldChar w:fldCharType="separate"/>
      </w:r>
      <w:r>
        <w:t>2</w:t>
      </w:r>
      <w:r>
        <w:fldChar w:fldCharType="end"/>
      </w:r>
      <w:r>
        <w:rPr>
          <w:rFonts w:hint="default" w:ascii="Times New Roman" w:hAnsi="Times New Roman" w:eastAsia="宋体" w:cs="Times New Roman"/>
          <w:color w:val="auto"/>
          <w:szCs w:val="20"/>
        </w:rPr>
        <w:fldChar w:fldCharType="end"/>
      </w:r>
    </w:p>
    <w:p w14:paraId="2893B157">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_Toc23664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1.3.1 国外研究现状</w:t>
      </w:r>
      <w:r>
        <w:tab/>
      </w:r>
      <w:r>
        <w:fldChar w:fldCharType="begin"/>
      </w:r>
      <w:r>
        <w:instrText xml:space="preserve"> PAGEREF _Toc23664 \h </w:instrText>
      </w:r>
      <w:r>
        <w:fldChar w:fldCharType="separate"/>
      </w:r>
      <w:r>
        <w:t>2</w:t>
      </w:r>
      <w:r>
        <w:fldChar w:fldCharType="end"/>
      </w:r>
      <w:r>
        <w:rPr>
          <w:rFonts w:hint="default" w:ascii="Times New Roman" w:hAnsi="Times New Roman" w:eastAsia="宋体" w:cs="Times New Roman"/>
          <w:color w:val="auto"/>
          <w:szCs w:val="20"/>
        </w:rPr>
        <w:fldChar w:fldCharType="end"/>
      </w:r>
    </w:p>
    <w:p w14:paraId="414BEA51">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_Toc4108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1.3.2 国内研究现状</w:t>
      </w:r>
      <w:r>
        <w:tab/>
      </w:r>
      <w:r>
        <w:fldChar w:fldCharType="begin"/>
      </w:r>
      <w:r>
        <w:instrText xml:space="preserve"> PAGEREF _Toc4108 \h </w:instrText>
      </w:r>
      <w:r>
        <w:fldChar w:fldCharType="separate"/>
      </w:r>
      <w:r>
        <w:t>2</w:t>
      </w:r>
      <w:r>
        <w:fldChar w:fldCharType="end"/>
      </w:r>
      <w:r>
        <w:rPr>
          <w:rFonts w:hint="default" w:ascii="Times New Roman" w:hAnsi="Times New Roman" w:eastAsia="宋体" w:cs="Times New Roman"/>
          <w:color w:val="auto"/>
          <w:szCs w:val="20"/>
        </w:rPr>
        <w:fldChar w:fldCharType="end"/>
      </w:r>
    </w:p>
    <w:p w14:paraId="2B0A26EC">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_Toc4863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1.3.3 文献评述</w:t>
      </w:r>
      <w:r>
        <w:tab/>
      </w:r>
      <w:r>
        <w:fldChar w:fldCharType="begin"/>
      </w:r>
      <w:r>
        <w:instrText xml:space="preserve"> PAGEREF _Toc4863 \h </w:instrText>
      </w:r>
      <w:r>
        <w:fldChar w:fldCharType="separate"/>
      </w:r>
      <w:r>
        <w:t>3</w:t>
      </w:r>
      <w:r>
        <w:fldChar w:fldCharType="end"/>
      </w:r>
      <w:r>
        <w:rPr>
          <w:rFonts w:hint="default" w:ascii="Times New Roman" w:hAnsi="Times New Roman" w:eastAsia="宋体" w:cs="Times New Roman"/>
          <w:color w:val="auto"/>
          <w:szCs w:val="20"/>
        </w:rPr>
        <w:fldChar w:fldCharType="end"/>
      </w:r>
    </w:p>
    <w:p w14:paraId="0EB35A78">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_Toc2623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1.4 研究内容及方法</w:t>
      </w:r>
      <w:r>
        <w:tab/>
      </w:r>
      <w:r>
        <w:fldChar w:fldCharType="begin"/>
      </w:r>
      <w:r>
        <w:instrText xml:space="preserve"> PAGEREF _Toc2623 \h </w:instrText>
      </w:r>
      <w:r>
        <w:fldChar w:fldCharType="separate"/>
      </w:r>
      <w:r>
        <w:t>3</w:t>
      </w:r>
      <w:r>
        <w:fldChar w:fldCharType="end"/>
      </w:r>
      <w:r>
        <w:rPr>
          <w:rFonts w:hint="default" w:ascii="Times New Roman" w:hAnsi="Times New Roman" w:eastAsia="宋体" w:cs="Times New Roman"/>
          <w:color w:val="auto"/>
          <w:szCs w:val="20"/>
        </w:rPr>
        <w:fldChar w:fldCharType="end"/>
      </w:r>
    </w:p>
    <w:p w14:paraId="27BCD930">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_Toc22499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1.4.1 研究内容</w:t>
      </w:r>
      <w:r>
        <w:tab/>
      </w:r>
      <w:r>
        <w:fldChar w:fldCharType="begin"/>
      </w:r>
      <w:r>
        <w:instrText xml:space="preserve"> PAGEREF _Toc22499 \h </w:instrText>
      </w:r>
      <w:r>
        <w:fldChar w:fldCharType="separate"/>
      </w:r>
      <w:r>
        <w:t>3</w:t>
      </w:r>
      <w:r>
        <w:fldChar w:fldCharType="end"/>
      </w:r>
      <w:r>
        <w:rPr>
          <w:rFonts w:hint="default" w:ascii="Times New Roman" w:hAnsi="Times New Roman" w:eastAsia="宋体" w:cs="Times New Roman"/>
          <w:color w:val="auto"/>
          <w:szCs w:val="20"/>
        </w:rPr>
        <w:fldChar w:fldCharType="end"/>
      </w:r>
    </w:p>
    <w:p w14:paraId="323E80B4">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_Toc31162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1.4.2 研究方法</w:t>
      </w:r>
      <w:r>
        <w:tab/>
      </w:r>
      <w:r>
        <w:fldChar w:fldCharType="begin"/>
      </w:r>
      <w:r>
        <w:instrText xml:space="preserve"> PAGEREF _Toc31162 \h </w:instrText>
      </w:r>
      <w:r>
        <w:fldChar w:fldCharType="separate"/>
      </w:r>
      <w:r>
        <w:t>4</w:t>
      </w:r>
      <w:r>
        <w:fldChar w:fldCharType="end"/>
      </w:r>
      <w:r>
        <w:rPr>
          <w:rFonts w:hint="default" w:ascii="Times New Roman" w:hAnsi="Times New Roman" w:eastAsia="宋体" w:cs="Times New Roman"/>
          <w:color w:val="auto"/>
          <w:szCs w:val="20"/>
        </w:rPr>
        <w:fldChar w:fldCharType="end"/>
      </w:r>
    </w:p>
    <w:p w14:paraId="19072F3A">
      <w:pPr>
        <w:pStyle w:val="15"/>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_Toc17693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第2章 网络虚拟财产的概述</w:t>
      </w:r>
      <w:r>
        <w:tab/>
      </w:r>
      <w:r>
        <w:fldChar w:fldCharType="begin"/>
      </w:r>
      <w:r>
        <w:instrText xml:space="preserve"> PAGEREF _Toc17693 \h </w:instrText>
      </w:r>
      <w:r>
        <w:fldChar w:fldCharType="separate"/>
      </w:r>
      <w:r>
        <w:t>5</w:t>
      </w:r>
      <w:r>
        <w:fldChar w:fldCharType="end"/>
      </w:r>
      <w:r>
        <w:rPr>
          <w:rFonts w:hint="default" w:ascii="Times New Roman" w:hAnsi="Times New Roman" w:eastAsia="宋体" w:cs="Times New Roman"/>
          <w:color w:val="auto"/>
          <w:szCs w:val="20"/>
        </w:rPr>
        <w:fldChar w:fldCharType="end"/>
      </w:r>
    </w:p>
    <w:p w14:paraId="11CF1D6C">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_Toc7339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2.1 网络虚拟财产的定义</w:t>
      </w:r>
      <w:r>
        <w:tab/>
      </w:r>
      <w:r>
        <w:fldChar w:fldCharType="begin"/>
      </w:r>
      <w:r>
        <w:instrText xml:space="preserve"> PAGEREF _Toc7339 \h </w:instrText>
      </w:r>
      <w:r>
        <w:fldChar w:fldCharType="separate"/>
      </w:r>
      <w:r>
        <w:t>5</w:t>
      </w:r>
      <w:r>
        <w:fldChar w:fldCharType="end"/>
      </w:r>
      <w:r>
        <w:rPr>
          <w:rFonts w:hint="default" w:ascii="Times New Roman" w:hAnsi="Times New Roman" w:eastAsia="宋体" w:cs="Times New Roman"/>
          <w:color w:val="auto"/>
          <w:szCs w:val="20"/>
        </w:rPr>
        <w:fldChar w:fldCharType="end"/>
      </w:r>
    </w:p>
    <w:p w14:paraId="6F54581F">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_Toc17295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2.1.1 广义说</w:t>
      </w:r>
      <w:r>
        <w:tab/>
      </w:r>
      <w:r>
        <w:fldChar w:fldCharType="begin"/>
      </w:r>
      <w:r>
        <w:instrText xml:space="preserve"> PAGEREF _Toc17295 \h </w:instrText>
      </w:r>
      <w:r>
        <w:fldChar w:fldCharType="separate"/>
      </w:r>
      <w:r>
        <w:t>5</w:t>
      </w:r>
      <w:r>
        <w:fldChar w:fldCharType="end"/>
      </w:r>
      <w:r>
        <w:rPr>
          <w:rFonts w:hint="default" w:ascii="Times New Roman" w:hAnsi="Times New Roman" w:eastAsia="宋体" w:cs="Times New Roman"/>
          <w:color w:val="auto"/>
          <w:szCs w:val="20"/>
        </w:rPr>
        <w:fldChar w:fldCharType="end"/>
      </w:r>
    </w:p>
    <w:p w14:paraId="6CA6ADC9">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_Toc30257 </w:instrText>
      </w:r>
      <w:r>
        <w:rPr>
          <w:rFonts w:hint="default" w:ascii="Times New Roman" w:hAnsi="Times New Roman" w:eastAsia="宋体" w:cs="Times New Roman"/>
          <w:szCs w:val="20"/>
        </w:rPr>
        <w:fldChar w:fldCharType="separate"/>
      </w:r>
      <w:r>
        <w:rPr>
          <w:rFonts w:hint="eastAsia" w:ascii="Times New Roman" w:hAnsi="Times New Roman" w:eastAsia="宋体" w:cs="Times New Roman"/>
          <w:szCs w:val="24"/>
          <w:lang w:eastAsia="zh-CN"/>
        </w:rPr>
        <w:t>2.1.2 狭义说</w:t>
      </w:r>
      <w:r>
        <w:tab/>
      </w:r>
      <w:r>
        <w:fldChar w:fldCharType="begin"/>
      </w:r>
      <w:r>
        <w:instrText xml:space="preserve"> PAGEREF _Toc30257 \h </w:instrText>
      </w:r>
      <w:r>
        <w:fldChar w:fldCharType="separate"/>
      </w:r>
      <w:r>
        <w:t>5</w:t>
      </w:r>
      <w:r>
        <w:fldChar w:fldCharType="end"/>
      </w:r>
      <w:r>
        <w:rPr>
          <w:rFonts w:hint="default" w:ascii="Times New Roman" w:hAnsi="Times New Roman" w:eastAsia="宋体" w:cs="Times New Roman"/>
          <w:color w:val="auto"/>
          <w:szCs w:val="20"/>
        </w:rPr>
        <w:fldChar w:fldCharType="end"/>
      </w:r>
    </w:p>
    <w:p w14:paraId="13E0D181">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_Toc6287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2.2 网络虚拟财产的财产属性</w:t>
      </w:r>
      <w:r>
        <w:tab/>
      </w:r>
      <w:r>
        <w:fldChar w:fldCharType="begin"/>
      </w:r>
      <w:r>
        <w:instrText xml:space="preserve"> PAGEREF _Toc6287 \h </w:instrText>
      </w:r>
      <w:r>
        <w:fldChar w:fldCharType="separate"/>
      </w:r>
      <w:r>
        <w:t>5</w:t>
      </w:r>
      <w:r>
        <w:fldChar w:fldCharType="end"/>
      </w:r>
      <w:r>
        <w:rPr>
          <w:rFonts w:hint="default" w:ascii="Times New Roman" w:hAnsi="Times New Roman" w:eastAsia="宋体" w:cs="Times New Roman"/>
          <w:color w:val="auto"/>
          <w:szCs w:val="20"/>
        </w:rPr>
        <w:fldChar w:fldCharType="end"/>
      </w:r>
    </w:p>
    <w:p w14:paraId="11B9F28D">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_Toc12821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2.2.1 民法意义上的财产含义</w:t>
      </w:r>
      <w:r>
        <w:tab/>
      </w:r>
      <w:r>
        <w:fldChar w:fldCharType="begin"/>
      </w:r>
      <w:r>
        <w:instrText xml:space="preserve"> PAGEREF _Toc12821 \h </w:instrText>
      </w:r>
      <w:r>
        <w:fldChar w:fldCharType="separate"/>
      </w:r>
      <w:r>
        <w:t>6</w:t>
      </w:r>
      <w:r>
        <w:fldChar w:fldCharType="end"/>
      </w:r>
      <w:r>
        <w:rPr>
          <w:rFonts w:hint="default" w:ascii="Times New Roman" w:hAnsi="Times New Roman" w:eastAsia="宋体" w:cs="Times New Roman"/>
          <w:color w:val="auto"/>
          <w:szCs w:val="20"/>
        </w:rPr>
        <w:fldChar w:fldCharType="end"/>
      </w:r>
    </w:p>
    <w:p w14:paraId="5CC043A5">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_Toc5459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2.2.2 网络虚拟财产与现实财产的价值关联性</w:t>
      </w:r>
      <w:r>
        <w:tab/>
      </w:r>
      <w:r>
        <w:fldChar w:fldCharType="begin"/>
      </w:r>
      <w:r>
        <w:instrText xml:space="preserve"> PAGEREF _Toc5459 \h </w:instrText>
      </w:r>
      <w:r>
        <w:fldChar w:fldCharType="separate"/>
      </w:r>
      <w:r>
        <w:t>6</w:t>
      </w:r>
      <w:r>
        <w:fldChar w:fldCharType="end"/>
      </w:r>
      <w:r>
        <w:rPr>
          <w:rFonts w:hint="default" w:ascii="Times New Roman" w:hAnsi="Times New Roman" w:eastAsia="宋体" w:cs="Times New Roman"/>
          <w:color w:val="auto"/>
          <w:szCs w:val="20"/>
        </w:rPr>
        <w:fldChar w:fldCharType="end"/>
      </w:r>
    </w:p>
    <w:p w14:paraId="7208A6C6">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_Toc1822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2.3 网络虚拟财产的法律属性</w:t>
      </w:r>
      <w:r>
        <w:tab/>
      </w:r>
      <w:r>
        <w:fldChar w:fldCharType="begin"/>
      </w:r>
      <w:r>
        <w:instrText xml:space="preserve"> PAGEREF _Toc1822 \h </w:instrText>
      </w:r>
      <w:r>
        <w:fldChar w:fldCharType="separate"/>
      </w:r>
      <w:r>
        <w:t>6</w:t>
      </w:r>
      <w:r>
        <w:fldChar w:fldCharType="end"/>
      </w:r>
      <w:r>
        <w:rPr>
          <w:rFonts w:hint="default" w:ascii="Times New Roman" w:hAnsi="Times New Roman" w:eastAsia="宋体" w:cs="Times New Roman"/>
          <w:color w:val="auto"/>
          <w:szCs w:val="20"/>
        </w:rPr>
        <w:fldChar w:fldCharType="end"/>
      </w:r>
    </w:p>
    <w:p w14:paraId="5F09FD80">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_Toc7770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2.3.1 物权说</w:t>
      </w:r>
      <w:r>
        <w:tab/>
      </w:r>
      <w:r>
        <w:fldChar w:fldCharType="begin"/>
      </w:r>
      <w:r>
        <w:instrText xml:space="preserve"> PAGEREF _Toc7770 \h </w:instrText>
      </w:r>
      <w:r>
        <w:fldChar w:fldCharType="separate"/>
      </w:r>
      <w:r>
        <w:t>6</w:t>
      </w:r>
      <w:r>
        <w:fldChar w:fldCharType="end"/>
      </w:r>
      <w:r>
        <w:rPr>
          <w:rFonts w:hint="default" w:ascii="Times New Roman" w:hAnsi="Times New Roman" w:eastAsia="宋体" w:cs="Times New Roman"/>
          <w:color w:val="auto"/>
          <w:szCs w:val="20"/>
        </w:rPr>
        <w:fldChar w:fldCharType="end"/>
      </w:r>
    </w:p>
    <w:p w14:paraId="6AA2B20A">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_Toc5438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2.3.2 债权说</w:t>
      </w:r>
      <w:r>
        <w:tab/>
      </w:r>
      <w:r>
        <w:fldChar w:fldCharType="begin"/>
      </w:r>
      <w:r>
        <w:instrText xml:space="preserve"> PAGEREF _Toc5438 \h </w:instrText>
      </w:r>
      <w:r>
        <w:fldChar w:fldCharType="separate"/>
      </w:r>
      <w:r>
        <w:t>7</w:t>
      </w:r>
      <w:r>
        <w:fldChar w:fldCharType="end"/>
      </w:r>
      <w:r>
        <w:rPr>
          <w:rFonts w:hint="default" w:ascii="Times New Roman" w:hAnsi="Times New Roman" w:eastAsia="宋体" w:cs="Times New Roman"/>
          <w:color w:val="auto"/>
          <w:szCs w:val="20"/>
        </w:rPr>
        <w:fldChar w:fldCharType="end"/>
      </w:r>
    </w:p>
    <w:p w14:paraId="4FEE6711">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_Toc13182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2.3.3 知识产权说</w:t>
      </w:r>
      <w:r>
        <w:tab/>
      </w:r>
      <w:r>
        <w:fldChar w:fldCharType="begin"/>
      </w:r>
      <w:r>
        <w:instrText xml:space="preserve"> PAGEREF _Toc13182 \h </w:instrText>
      </w:r>
      <w:r>
        <w:fldChar w:fldCharType="separate"/>
      </w:r>
      <w:r>
        <w:t>8</w:t>
      </w:r>
      <w:r>
        <w:fldChar w:fldCharType="end"/>
      </w:r>
      <w:r>
        <w:rPr>
          <w:rFonts w:hint="default" w:ascii="Times New Roman" w:hAnsi="Times New Roman" w:eastAsia="宋体" w:cs="Times New Roman"/>
          <w:color w:val="auto"/>
          <w:szCs w:val="20"/>
        </w:rPr>
        <w:fldChar w:fldCharType="end"/>
      </w:r>
    </w:p>
    <w:p w14:paraId="36E8119B">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_Toc26086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2.3.4 新型权利说</w:t>
      </w:r>
      <w:r>
        <w:tab/>
      </w:r>
      <w:r>
        <w:fldChar w:fldCharType="begin"/>
      </w:r>
      <w:r>
        <w:instrText xml:space="preserve"> PAGEREF _Toc26086 \h </w:instrText>
      </w:r>
      <w:r>
        <w:fldChar w:fldCharType="separate"/>
      </w:r>
      <w:r>
        <w:t>8</w:t>
      </w:r>
      <w:r>
        <w:fldChar w:fldCharType="end"/>
      </w:r>
      <w:r>
        <w:rPr>
          <w:rFonts w:hint="default" w:ascii="Times New Roman" w:hAnsi="Times New Roman" w:eastAsia="宋体" w:cs="Times New Roman"/>
          <w:color w:val="auto"/>
          <w:szCs w:val="20"/>
        </w:rPr>
        <w:fldChar w:fldCharType="end"/>
      </w:r>
    </w:p>
    <w:p w14:paraId="581B5C1C">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_Toc9570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2.4 本章小结</w:t>
      </w:r>
      <w:r>
        <w:tab/>
      </w:r>
      <w:r>
        <w:fldChar w:fldCharType="begin"/>
      </w:r>
      <w:r>
        <w:instrText xml:space="preserve"> PAGEREF _Toc9570 \h </w:instrText>
      </w:r>
      <w:r>
        <w:fldChar w:fldCharType="separate"/>
      </w:r>
      <w:r>
        <w:t>8</w:t>
      </w:r>
      <w:r>
        <w:fldChar w:fldCharType="end"/>
      </w:r>
      <w:r>
        <w:rPr>
          <w:rFonts w:hint="default" w:ascii="Times New Roman" w:hAnsi="Times New Roman" w:eastAsia="宋体" w:cs="Times New Roman"/>
          <w:color w:val="auto"/>
          <w:szCs w:val="20"/>
        </w:rPr>
        <w:fldChar w:fldCharType="end"/>
      </w:r>
    </w:p>
    <w:p w14:paraId="277877C3">
      <w:pPr>
        <w:pStyle w:val="15"/>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_Toc10310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第3章 网络虚拟财产保护中存在的问题</w:t>
      </w:r>
      <w:r>
        <w:tab/>
      </w:r>
      <w:r>
        <w:fldChar w:fldCharType="begin"/>
      </w:r>
      <w:r>
        <w:instrText xml:space="preserve"> PAGEREF _Toc10310 \h </w:instrText>
      </w:r>
      <w:r>
        <w:fldChar w:fldCharType="separate"/>
      </w:r>
      <w:r>
        <w:t>10</w:t>
      </w:r>
      <w:r>
        <w:fldChar w:fldCharType="end"/>
      </w:r>
      <w:r>
        <w:rPr>
          <w:rFonts w:hint="default" w:ascii="Times New Roman" w:hAnsi="Times New Roman" w:eastAsia="宋体" w:cs="Times New Roman"/>
          <w:color w:val="auto"/>
          <w:szCs w:val="20"/>
        </w:rPr>
        <w:fldChar w:fldCharType="end"/>
      </w:r>
    </w:p>
    <w:p w14:paraId="260C585B">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_Toc19267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3.1 网络虚拟财产可继承性的法律依据缺失</w:t>
      </w:r>
      <w:r>
        <w:tab/>
      </w:r>
      <w:r>
        <w:fldChar w:fldCharType="begin"/>
      </w:r>
      <w:r>
        <w:instrText xml:space="preserve"> PAGEREF _Toc19267 \h </w:instrText>
      </w:r>
      <w:r>
        <w:fldChar w:fldCharType="separate"/>
      </w:r>
      <w:r>
        <w:t>10</w:t>
      </w:r>
      <w:r>
        <w:fldChar w:fldCharType="end"/>
      </w:r>
      <w:r>
        <w:rPr>
          <w:rFonts w:hint="default" w:ascii="Times New Roman" w:hAnsi="Times New Roman" w:eastAsia="宋体" w:cs="Times New Roman"/>
          <w:color w:val="auto"/>
          <w:szCs w:val="20"/>
        </w:rPr>
        <w:fldChar w:fldCharType="end"/>
      </w:r>
    </w:p>
    <w:p w14:paraId="7B7C914C">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_Toc20549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3.1.1 法律属性争议导致继承资格认定困难</w:t>
      </w:r>
      <w:r>
        <w:tab/>
      </w:r>
      <w:r>
        <w:fldChar w:fldCharType="begin"/>
      </w:r>
      <w:r>
        <w:instrText xml:space="preserve"> PAGEREF _Toc20549 \h </w:instrText>
      </w:r>
      <w:r>
        <w:fldChar w:fldCharType="separate"/>
      </w:r>
      <w:r>
        <w:t>10</w:t>
      </w:r>
      <w:r>
        <w:fldChar w:fldCharType="end"/>
      </w:r>
      <w:r>
        <w:rPr>
          <w:rFonts w:hint="default" w:ascii="Times New Roman" w:hAnsi="Times New Roman" w:eastAsia="宋体" w:cs="Times New Roman"/>
          <w:color w:val="auto"/>
          <w:szCs w:val="20"/>
        </w:rPr>
        <w:fldChar w:fldCharType="end"/>
      </w:r>
    </w:p>
    <w:p w14:paraId="7A35A309">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_Toc25730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3.1.2 司法实践中继承纠纷裁判标准不统一</w:t>
      </w:r>
      <w:r>
        <w:tab/>
      </w:r>
      <w:r>
        <w:fldChar w:fldCharType="begin"/>
      </w:r>
      <w:r>
        <w:instrText xml:space="preserve"> PAGEREF _Toc25730 \h </w:instrText>
      </w:r>
      <w:r>
        <w:fldChar w:fldCharType="separate"/>
      </w:r>
      <w:r>
        <w:t>10</w:t>
      </w:r>
      <w:r>
        <w:fldChar w:fldCharType="end"/>
      </w:r>
      <w:r>
        <w:rPr>
          <w:rFonts w:hint="default" w:ascii="Times New Roman" w:hAnsi="Times New Roman" w:eastAsia="宋体" w:cs="Times New Roman"/>
          <w:color w:val="auto"/>
          <w:szCs w:val="20"/>
        </w:rPr>
        <w:fldChar w:fldCharType="end"/>
      </w:r>
    </w:p>
    <w:p w14:paraId="3723D0FC">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_Toc13935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3.2 网络虚拟财产继承中的权利归属困境</w:t>
      </w:r>
      <w:r>
        <w:tab/>
      </w:r>
      <w:r>
        <w:fldChar w:fldCharType="begin"/>
      </w:r>
      <w:r>
        <w:instrText xml:space="preserve"> PAGEREF _Toc13935 \h </w:instrText>
      </w:r>
      <w:r>
        <w:fldChar w:fldCharType="separate"/>
      </w:r>
      <w:r>
        <w:t>10</w:t>
      </w:r>
      <w:r>
        <w:fldChar w:fldCharType="end"/>
      </w:r>
      <w:r>
        <w:rPr>
          <w:rFonts w:hint="default" w:ascii="Times New Roman" w:hAnsi="Times New Roman" w:eastAsia="宋体" w:cs="Times New Roman"/>
          <w:color w:val="auto"/>
          <w:szCs w:val="20"/>
        </w:rPr>
        <w:fldChar w:fldCharType="end"/>
      </w:r>
    </w:p>
    <w:p w14:paraId="2ACD2EB5">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_Toc27495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3.2.1 复合型数字资产中继承范围难以界定</w:t>
      </w:r>
      <w:r>
        <w:tab/>
      </w:r>
      <w:r>
        <w:fldChar w:fldCharType="begin"/>
      </w:r>
      <w:r>
        <w:instrText xml:space="preserve"> PAGEREF _Toc27495 \h </w:instrText>
      </w:r>
      <w:r>
        <w:fldChar w:fldCharType="separate"/>
      </w:r>
      <w:r>
        <w:t>10</w:t>
      </w:r>
      <w:r>
        <w:fldChar w:fldCharType="end"/>
      </w:r>
      <w:r>
        <w:rPr>
          <w:rFonts w:hint="default" w:ascii="Times New Roman" w:hAnsi="Times New Roman" w:eastAsia="宋体" w:cs="Times New Roman"/>
          <w:color w:val="auto"/>
          <w:szCs w:val="20"/>
        </w:rPr>
        <w:fldChar w:fldCharType="end"/>
      </w:r>
    </w:p>
    <w:p w14:paraId="54966914">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_Toc2101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3.2.2 用户与运营商之间存在权属争议</w:t>
      </w:r>
      <w:r>
        <w:tab/>
      </w:r>
      <w:r>
        <w:fldChar w:fldCharType="begin"/>
      </w:r>
      <w:r>
        <w:instrText xml:space="preserve"> PAGEREF _Toc2101 \h </w:instrText>
      </w:r>
      <w:r>
        <w:fldChar w:fldCharType="separate"/>
      </w:r>
      <w:r>
        <w:t>11</w:t>
      </w:r>
      <w:r>
        <w:fldChar w:fldCharType="end"/>
      </w:r>
      <w:r>
        <w:rPr>
          <w:rFonts w:hint="default" w:ascii="Times New Roman" w:hAnsi="Times New Roman" w:eastAsia="宋体" w:cs="Times New Roman"/>
          <w:color w:val="auto"/>
          <w:szCs w:val="20"/>
        </w:rPr>
        <w:fldChar w:fldCharType="end"/>
      </w:r>
    </w:p>
    <w:p w14:paraId="7A2DC9D3">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_Toc2780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3.3 网络虚拟财产继承中价值评估机制的缺失</w:t>
      </w:r>
      <w:r>
        <w:tab/>
      </w:r>
      <w:r>
        <w:fldChar w:fldCharType="begin"/>
      </w:r>
      <w:r>
        <w:instrText xml:space="preserve"> PAGEREF _Toc2780 \h </w:instrText>
      </w:r>
      <w:r>
        <w:fldChar w:fldCharType="separate"/>
      </w:r>
      <w:r>
        <w:t>11</w:t>
      </w:r>
      <w:r>
        <w:fldChar w:fldCharType="end"/>
      </w:r>
      <w:r>
        <w:rPr>
          <w:rFonts w:hint="default" w:ascii="Times New Roman" w:hAnsi="Times New Roman" w:eastAsia="宋体" w:cs="Times New Roman"/>
          <w:color w:val="auto"/>
          <w:szCs w:val="20"/>
        </w:rPr>
        <w:fldChar w:fldCharType="end"/>
      </w:r>
    </w:p>
    <w:p w14:paraId="2E6A57B6">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_Toc4901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3.3.1 缺乏权威评估标准导致遗产分割困难</w:t>
      </w:r>
      <w:r>
        <w:tab/>
      </w:r>
      <w:r>
        <w:fldChar w:fldCharType="begin"/>
      </w:r>
      <w:r>
        <w:instrText xml:space="preserve"> PAGEREF _Toc4901 \h </w:instrText>
      </w:r>
      <w:r>
        <w:fldChar w:fldCharType="separate"/>
      </w:r>
      <w:r>
        <w:t>11</w:t>
      </w:r>
      <w:r>
        <w:fldChar w:fldCharType="end"/>
      </w:r>
      <w:r>
        <w:rPr>
          <w:rFonts w:hint="default" w:ascii="Times New Roman" w:hAnsi="Times New Roman" w:eastAsia="宋体" w:cs="Times New Roman"/>
          <w:color w:val="auto"/>
          <w:szCs w:val="20"/>
        </w:rPr>
        <w:fldChar w:fldCharType="end"/>
      </w:r>
    </w:p>
    <w:p w14:paraId="460263EA">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_Toc14141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3.3.2 评估方法单一难以反映虚拟财产真实价值</w:t>
      </w:r>
      <w:r>
        <w:tab/>
      </w:r>
      <w:r>
        <w:fldChar w:fldCharType="begin"/>
      </w:r>
      <w:r>
        <w:instrText xml:space="preserve"> PAGEREF _Toc14141 \h </w:instrText>
      </w:r>
      <w:r>
        <w:fldChar w:fldCharType="separate"/>
      </w:r>
      <w:r>
        <w:t>11</w:t>
      </w:r>
      <w:r>
        <w:fldChar w:fldCharType="end"/>
      </w:r>
      <w:r>
        <w:rPr>
          <w:rFonts w:hint="default" w:ascii="Times New Roman" w:hAnsi="Times New Roman" w:eastAsia="宋体" w:cs="Times New Roman"/>
          <w:color w:val="auto"/>
          <w:szCs w:val="20"/>
        </w:rPr>
        <w:fldChar w:fldCharType="end"/>
      </w:r>
    </w:p>
    <w:p w14:paraId="73AE9F07">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_Toc2833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3.4 网络虚拟财产继承中举证责任分配不明</w:t>
      </w:r>
      <w:r>
        <w:tab/>
      </w:r>
      <w:r>
        <w:fldChar w:fldCharType="begin"/>
      </w:r>
      <w:r>
        <w:instrText xml:space="preserve"> PAGEREF _Toc2833 \h </w:instrText>
      </w:r>
      <w:r>
        <w:fldChar w:fldCharType="separate"/>
      </w:r>
      <w:r>
        <w:t>12</w:t>
      </w:r>
      <w:r>
        <w:fldChar w:fldCharType="end"/>
      </w:r>
      <w:r>
        <w:rPr>
          <w:rFonts w:hint="default" w:ascii="Times New Roman" w:hAnsi="Times New Roman" w:eastAsia="宋体" w:cs="Times New Roman"/>
          <w:color w:val="auto"/>
          <w:szCs w:val="20"/>
        </w:rPr>
        <w:fldChar w:fldCharType="end"/>
      </w:r>
    </w:p>
    <w:p w14:paraId="69896F9D">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_Toc10862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3.4.1 继承人与运营商之间的地位不平等</w:t>
      </w:r>
      <w:r>
        <w:tab/>
      </w:r>
      <w:r>
        <w:fldChar w:fldCharType="begin"/>
      </w:r>
      <w:r>
        <w:instrText xml:space="preserve"> PAGEREF _Toc10862 \h </w:instrText>
      </w:r>
      <w:r>
        <w:fldChar w:fldCharType="separate"/>
      </w:r>
      <w:r>
        <w:t>12</w:t>
      </w:r>
      <w:r>
        <w:fldChar w:fldCharType="end"/>
      </w:r>
      <w:r>
        <w:rPr>
          <w:rFonts w:hint="default" w:ascii="Times New Roman" w:hAnsi="Times New Roman" w:eastAsia="宋体" w:cs="Times New Roman"/>
          <w:color w:val="auto"/>
          <w:szCs w:val="20"/>
        </w:rPr>
        <w:fldChar w:fldCharType="end"/>
      </w:r>
    </w:p>
    <w:p w14:paraId="758F9EBF">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_Toc10811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3.4.2 网络虚拟财产举证的特殊性</w:t>
      </w:r>
      <w:r>
        <w:tab/>
      </w:r>
      <w:r>
        <w:fldChar w:fldCharType="begin"/>
      </w:r>
      <w:r>
        <w:instrText xml:space="preserve"> PAGEREF _Toc10811 \h </w:instrText>
      </w:r>
      <w:r>
        <w:fldChar w:fldCharType="separate"/>
      </w:r>
      <w:r>
        <w:t>12</w:t>
      </w:r>
      <w:r>
        <w:fldChar w:fldCharType="end"/>
      </w:r>
      <w:r>
        <w:rPr>
          <w:rFonts w:hint="default" w:ascii="Times New Roman" w:hAnsi="Times New Roman" w:eastAsia="宋体" w:cs="Times New Roman"/>
          <w:color w:val="auto"/>
          <w:szCs w:val="20"/>
        </w:rPr>
        <w:fldChar w:fldCharType="end"/>
      </w:r>
    </w:p>
    <w:p w14:paraId="5272A75D">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_Toc17876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3.5 本章小结</w:t>
      </w:r>
      <w:r>
        <w:tab/>
      </w:r>
      <w:r>
        <w:fldChar w:fldCharType="begin"/>
      </w:r>
      <w:r>
        <w:instrText xml:space="preserve"> PAGEREF _Toc17876 \h </w:instrText>
      </w:r>
      <w:r>
        <w:fldChar w:fldCharType="separate"/>
      </w:r>
      <w:r>
        <w:t>12</w:t>
      </w:r>
      <w:r>
        <w:fldChar w:fldCharType="end"/>
      </w:r>
      <w:r>
        <w:rPr>
          <w:rFonts w:hint="default" w:ascii="Times New Roman" w:hAnsi="Times New Roman" w:eastAsia="宋体" w:cs="Times New Roman"/>
          <w:color w:val="auto"/>
          <w:szCs w:val="20"/>
        </w:rPr>
        <w:fldChar w:fldCharType="end"/>
      </w:r>
    </w:p>
    <w:p w14:paraId="7CE29962">
      <w:pPr>
        <w:pStyle w:val="15"/>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_Toc17402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第4章 网络虚拟财产继承的域外经验研究</w:t>
      </w:r>
      <w:r>
        <w:tab/>
      </w:r>
      <w:r>
        <w:fldChar w:fldCharType="begin"/>
      </w:r>
      <w:r>
        <w:instrText xml:space="preserve"> PAGEREF _Toc17402 \h </w:instrText>
      </w:r>
      <w:r>
        <w:fldChar w:fldCharType="separate"/>
      </w:r>
      <w:r>
        <w:t>13</w:t>
      </w:r>
      <w:r>
        <w:fldChar w:fldCharType="end"/>
      </w:r>
      <w:r>
        <w:rPr>
          <w:rFonts w:hint="default" w:ascii="Times New Roman" w:hAnsi="Times New Roman" w:eastAsia="宋体" w:cs="Times New Roman"/>
          <w:color w:val="auto"/>
          <w:szCs w:val="20"/>
        </w:rPr>
        <w:fldChar w:fldCharType="end"/>
      </w:r>
    </w:p>
    <w:p w14:paraId="7C10CBF4">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_Toc12519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4.1 域外网络虚拟财产继承的经验</w:t>
      </w:r>
      <w:r>
        <w:tab/>
      </w:r>
      <w:r>
        <w:fldChar w:fldCharType="begin"/>
      </w:r>
      <w:r>
        <w:instrText xml:space="preserve"> PAGEREF _Toc12519 \h </w:instrText>
      </w:r>
      <w:r>
        <w:fldChar w:fldCharType="separate"/>
      </w:r>
      <w:r>
        <w:t>13</w:t>
      </w:r>
      <w:r>
        <w:fldChar w:fldCharType="end"/>
      </w:r>
      <w:r>
        <w:rPr>
          <w:rFonts w:hint="default" w:ascii="Times New Roman" w:hAnsi="Times New Roman" w:eastAsia="宋体" w:cs="Times New Roman"/>
          <w:color w:val="auto"/>
          <w:szCs w:val="20"/>
        </w:rPr>
        <w:fldChar w:fldCharType="end"/>
      </w:r>
    </w:p>
    <w:p w14:paraId="3DA32273">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_Toc25976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4.1.1 联合国《保护数字遗产宪章》的考察研究</w:t>
      </w:r>
      <w:r>
        <w:tab/>
      </w:r>
      <w:r>
        <w:fldChar w:fldCharType="begin"/>
      </w:r>
      <w:r>
        <w:instrText xml:space="preserve"> PAGEREF _Toc25976 \h </w:instrText>
      </w:r>
      <w:r>
        <w:fldChar w:fldCharType="separate"/>
      </w:r>
      <w:r>
        <w:t>13</w:t>
      </w:r>
      <w:r>
        <w:fldChar w:fldCharType="end"/>
      </w:r>
      <w:r>
        <w:rPr>
          <w:rFonts w:hint="default" w:ascii="Times New Roman" w:hAnsi="Times New Roman" w:eastAsia="宋体" w:cs="Times New Roman"/>
          <w:color w:val="auto"/>
          <w:szCs w:val="20"/>
        </w:rPr>
        <w:fldChar w:fldCharType="end"/>
      </w:r>
    </w:p>
    <w:p w14:paraId="1FF4CF42">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_Toc367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4.1.2 美国法的相关规定</w:t>
      </w:r>
      <w:r>
        <w:tab/>
      </w:r>
      <w:r>
        <w:fldChar w:fldCharType="begin"/>
      </w:r>
      <w:r>
        <w:instrText xml:space="preserve"> PAGEREF _Toc367 \h </w:instrText>
      </w:r>
      <w:r>
        <w:fldChar w:fldCharType="separate"/>
      </w:r>
      <w:r>
        <w:t>13</w:t>
      </w:r>
      <w:r>
        <w:fldChar w:fldCharType="end"/>
      </w:r>
      <w:r>
        <w:rPr>
          <w:rFonts w:hint="default" w:ascii="Times New Roman" w:hAnsi="Times New Roman" w:eastAsia="宋体" w:cs="Times New Roman"/>
          <w:color w:val="auto"/>
          <w:szCs w:val="20"/>
        </w:rPr>
        <w:fldChar w:fldCharType="end"/>
      </w:r>
    </w:p>
    <w:p w14:paraId="3FD47330">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_Toc15738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4.1.3 德国法的相关规定</w:t>
      </w:r>
      <w:r>
        <w:tab/>
      </w:r>
      <w:r>
        <w:fldChar w:fldCharType="begin"/>
      </w:r>
      <w:r>
        <w:instrText xml:space="preserve"> PAGEREF _Toc15738 \h </w:instrText>
      </w:r>
      <w:r>
        <w:fldChar w:fldCharType="separate"/>
      </w:r>
      <w:r>
        <w:t>14</w:t>
      </w:r>
      <w:r>
        <w:fldChar w:fldCharType="end"/>
      </w:r>
      <w:r>
        <w:rPr>
          <w:rFonts w:hint="default" w:ascii="Times New Roman" w:hAnsi="Times New Roman" w:eastAsia="宋体" w:cs="Times New Roman"/>
          <w:color w:val="auto"/>
          <w:szCs w:val="20"/>
        </w:rPr>
        <w:fldChar w:fldCharType="end"/>
      </w:r>
    </w:p>
    <w:p w14:paraId="3E4FC51A">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_Toc25272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4.2 域外网络虚拟财产继承制度的启示</w:t>
      </w:r>
      <w:r>
        <w:tab/>
      </w:r>
      <w:r>
        <w:fldChar w:fldCharType="begin"/>
      </w:r>
      <w:r>
        <w:instrText xml:space="preserve"> PAGEREF _Toc25272 \h </w:instrText>
      </w:r>
      <w:r>
        <w:fldChar w:fldCharType="separate"/>
      </w:r>
      <w:r>
        <w:t>14</w:t>
      </w:r>
      <w:r>
        <w:fldChar w:fldCharType="end"/>
      </w:r>
      <w:r>
        <w:rPr>
          <w:rFonts w:hint="default" w:ascii="Times New Roman" w:hAnsi="Times New Roman" w:eastAsia="宋体" w:cs="Times New Roman"/>
          <w:color w:val="auto"/>
          <w:szCs w:val="20"/>
        </w:rPr>
        <w:fldChar w:fldCharType="end"/>
      </w:r>
    </w:p>
    <w:p w14:paraId="2CCAD63A">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_Toc2898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4.2.1 明确网络虚拟财产的可继承性</w:t>
      </w:r>
      <w:r>
        <w:tab/>
      </w:r>
      <w:r>
        <w:fldChar w:fldCharType="begin"/>
      </w:r>
      <w:r>
        <w:instrText xml:space="preserve"> PAGEREF _Toc2898 \h </w:instrText>
      </w:r>
      <w:r>
        <w:fldChar w:fldCharType="separate"/>
      </w:r>
      <w:r>
        <w:t>14</w:t>
      </w:r>
      <w:r>
        <w:fldChar w:fldCharType="end"/>
      </w:r>
      <w:r>
        <w:rPr>
          <w:rFonts w:hint="default" w:ascii="Times New Roman" w:hAnsi="Times New Roman" w:eastAsia="宋体" w:cs="Times New Roman"/>
          <w:color w:val="auto"/>
          <w:szCs w:val="20"/>
        </w:rPr>
        <w:fldChar w:fldCharType="end"/>
      </w:r>
    </w:p>
    <w:p w14:paraId="7CF1728E">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_Toc6965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4.2.2 设立网络虚拟财产价值评估机构</w:t>
      </w:r>
      <w:r>
        <w:tab/>
      </w:r>
      <w:r>
        <w:fldChar w:fldCharType="begin"/>
      </w:r>
      <w:r>
        <w:instrText xml:space="preserve"> PAGEREF _Toc6965 \h </w:instrText>
      </w:r>
      <w:r>
        <w:fldChar w:fldCharType="separate"/>
      </w:r>
      <w:r>
        <w:t>14</w:t>
      </w:r>
      <w:r>
        <w:fldChar w:fldCharType="end"/>
      </w:r>
      <w:r>
        <w:rPr>
          <w:rFonts w:hint="default" w:ascii="Times New Roman" w:hAnsi="Times New Roman" w:eastAsia="宋体" w:cs="Times New Roman"/>
          <w:color w:val="auto"/>
          <w:szCs w:val="20"/>
        </w:rPr>
        <w:fldChar w:fldCharType="end"/>
      </w:r>
    </w:p>
    <w:p w14:paraId="1C36CAC8">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_Toc5735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4.3 本章小结</w:t>
      </w:r>
      <w:r>
        <w:tab/>
      </w:r>
      <w:r>
        <w:fldChar w:fldCharType="begin"/>
      </w:r>
      <w:r>
        <w:instrText xml:space="preserve"> PAGEREF _Toc5735 \h </w:instrText>
      </w:r>
      <w:r>
        <w:fldChar w:fldCharType="separate"/>
      </w:r>
      <w:r>
        <w:t>15</w:t>
      </w:r>
      <w:r>
        <w:fldChar w:fldCharType="end"/>
      </w:r>
      <w:r>
        <w:rPr>
          <w:rFonts w:hint="default" w:ascii="Times New Roman" w:hAnsi="Times New Roman" w:eastAsia="宋体" w:cs="Times New Roman"/>
          <w:color w:val="auto"/>
          <w:szCs w:val="20"/>
        </w:rPr>
        <w:fldChar w:fldCharType="end"/>
      </w:r>
    </w:p>
    <w:p w14:paraId="6D309854">
      <w:pPr>
        <w:pStyle w:val="15"/>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_Toc3181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第5章 对我国实践中网络虚拟财产继承的完善</w:t>
      </w:r>
      <w:r>
        <w:tab/>
      </w:r>
      <w:r>
        <w:fldChar w:fldCharType="begin"/>
      </w:r>
      <w:r>
        <w:instrText xml:space="preserve"> PAGEREF _Toc3181 \h </w:instrText>
      </w:r>
      <w:r>
        <w:fldChar w:fldCharType="separate"/>
      </w:r>
      <w:r>
        <w:t>16</w:t>
      </w:r>
      <w:r>
        <w:fldChar w:fldCharType="end"/>
      </w:r>
      <w:r>
        <w:rPr>
          <w:rFonts w:hint="default" w:ascii="Times New Roman" w:hAnsi="Times New Roman" w:eastAsia="宋体" w:cs="Times New Roman"/>
          <w:color w:val="auto"/>
          <w:szCs w:val="20"/>
        </w:rPr>
        <w:fldChar w:fldCharType="end"/>
      </w:r>
    </w:p>
    <w:p w14:paraId="5C699C74">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_Toc31481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5.1 明确网络虚拟财产的可继承法律地位</w:t>
      </w:r>
      <w:r>
        <w:tab/>
      </w:r>
      <w:r>
        <w:fldChar w:fldCharType="begin"/>
      </w:r>
      <w:r>
        <w:instrText xml:space="preserve"> PAGEREF _Toc31481 \h </w:instrText>
      </w:r>
      <w:r>
        <w:fldChar w:fldCharType="separate"/>
      </w:r>
      <w:r>
        <w:t>16</w:t>
      </w:r>
      <w:r>
        <w:fldChar w:fldCharType="end"/>
      </w:r>
      <w:r>
        <w:rPr>
          <w:rFonts w:hint="default" w:ascii="Times New Roman" w:hAnsi="Times New Roman" w:eastAsia="宋体" w:cs="Times New Roman"/>
          <w:color w:val="auto"/>
          <w:szCs w:val="20"/>
        </w:rPr>
        <w:fldChar w:fldCharType="end"/>
      </w:r>
    </w:p>
    <w:p w14:paraId="3DC08494">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_Toc26410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5.1.1 确立网络虚拟财产的物权属性</w:t>
      </w:r>
      <w:r>
        <w:tab/>
      </w:r>
      <w:r>
        <w:fldChar w:fldCharType="begin"/>
      </w:r>
      <w:r>
        <w:instrText xml:space="preserve"> PAGEREF _Toc26410 \h </w:instrText>
      </w:r>
      <w:r>
        <w:fldChar w:fldCharType="separate"/>
      </w:r>
      <w:r>
        <w:t>16</w:t>
      </w:r>
      <w:r>
        <w:fldChar w:fldCharType="end"/>
      </w:r>
      <w:r>
        <w:rPr>
          <w:rFonts w:hint="default" w:ascii="Times New Roman" w:hAnsi="Times New Roman" w:eastAsia="宋体" w:cs="Times New Roman"/>
          <w:color w:val="auto"/>
          <w:szCs w:val="20"/>
        </w:rPr>
        <w:fldChar w:fldCharType="end"/>
      </w:r>
    </w:p>
    <w:p w14:paraId="382CE1DF">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_Toc15882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5.1.2 出台审理网络虚拟财产继承纠纷的司法指导意见</w:t>
      </w:r>
      <w:r>
        <w:tab/>
      </w:r>
      <w:r>
        <w:fldChar w:fldCharType="begin"/>
      </w:r>
      <w:r>
        <w:instrText xml:space="preserve"> PAGEREF _Toc15882 \h </w:instrText>
      </w:r>
      <w:r>
        <w:fldChar w:fldCharType="separate"/>
      </w:r>
      <w:r>
        <w:t>16</w:t>
      </w:r>
      <w:r>
        <w:fldChar w:fldCharType="end"/>
      </w:r>
      <w:r>
        <w:rPr>
          <w:rFonts w:hint="default" w:ascii="Times New Roman" w:hAnsi="Times New Roman" w:eastAsia="宋体" w:cs="Times New Roman"/>
          <w:color w:val="auto"/>
          <w:szCs w:val="20"/>
        </w:rPr>
        <w:fldChar w:fldCharType="end"/>
      </w:r>
    </w:p>
    <w:p w14:paraId="48003777">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_Toc24126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5.2 完善网络虚拟财产继承的权利归属认定规则</w:t>
      </w:r>
      <w:r>
        <w:tab/>
      </w:r>
      <w:r>
        <w:fldChar w:fldCharType="begin"/>
      </w:r>
      <w:r>
        <w:instrText xml:space="preserve"> PAGEREF _Toc24126 \h </w:instrText>
      </w:r>
      <w:r>
        <w:fldChar w:fldCharType="separate"/>
      </w:r>
      <w:r>
        <w:t>17</w:t>
      </w:r>
      <w:r>
        <w:fldChar w:fldCharType="end"/>
      </w:r>
      <w:r>
        <w:rPr>
          <w:rFonts w:hint="default" w:ascii="Times New Roman" w:hAnsi="Times New Roman" w:eastAsia="宋体" w:cs="Times New Roman"/>
          <w:color w:val="auto"/>
          <w:szCs w:val="20"/>
        </w:rPr>
        <w:fldChar w:fldCharType="end"/>
      </w:r>
    </w:p>
    <w:p w14:paraId="543B1B54">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_Toc27031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5.2.1 构建财产权益继承与人格权益保护并行的规则</w:t>
      </w:r>
      <w:r>
        <w:tab/>
      </w:r>
      <w:r>
        <w:fldChar w:fldCharType="begin"/>
      </w:r>
      <w:r>
        <w:instrText xml:space="preserve"> PAGEREF _Toc27031 \h </w:instrText>
      </w:r>
      <w:r>
        <w:fldChar w:fldCharType="separate"/>
      </w:r>
      <w:r>
        <w:t>17</w:t>
      </w:r>
      <w:r>
        <w:fldChar w:fldCharType="end"/>
      </w:r>
      <w:r>
        <w:rPr>
          <w:rFonts w:hint="default" w:ascii="Times New Roman" w:hAnsi="Times New Roman" w:eastAsia="宋体" w:cs="Times New Roman"/>
          <w:color w:val="auto"/>
          <w:szCs w:val="20"/>
        </w:rPr>
        <w:fldChar w:fldCharType="end"/>
      </w:r>
    </w:p>
    <w:p w14:paraId="1C4C9427">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_Toc13406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 xml:space="preserve">5.2.2 </w:t>
      </w:r>
      <w:r>
        <w:rPr>
          <w:rFonts w:hint="eastAsia" w:ascii="Times New Roman" w:hAnsi="Times New Roman" w:cs="Times New Roman"/>
          <w:szCs w:val="20"/>
          <w:lang w:eastAsia="zh-CN"/>
        </w:rPr>
        <w:t>“</w:t>
      </w:r>
      <w:r>
        <w:rPr>
          <w:rFonts w:hint="default" w:ascii="Times New Roman" w:hAnsi="Times New Roman" w:cs="Times New Roman"/>
          <w:szCs w:val="20"/>
        </w:rPr>
        <w:t>所有权—使用权</w:t>
      </w:r>
      <w:r>
        <w:rPr>
          <w:rFonts w:hint="eastAsia" w:ascii="Times New Roman" w:hAnsi="Times New Roman" w:cs="Times New Roman"/>
          <w:szCs w:val="20"/>
          <w:lang w:eastAsia="zh-CN"/>
        </w:rPr>
        <w:t>”</w:t>
      </w:r>
      <w:r>
        <w:rPr>
          <w:rFonts w:hint="default" w:ascii="Times New Roman" w:hAnsi="Times New Roman" w:cs="Times New Roman"/>
          <w:szCs w:val="20"/>
        </w:rPr>
        <w:t>分离</w:t>
      </w:r>
      <w:r>
        <w:rPr>
          <w:rFonts w:hint="default" w:ascii="Times New Roman" w:hAnsi="Times New Roman" w:cs="Times New Roman"/>
          <w:szCs w:val="20"/>
          <w:lang w:val="en-US" w:eastAsia="zh-CN"/>
        </w:rPr>
        <w:t>的归属原则</w:t>
      </w:r>
      <w:r>
        <w:tab/>
      </w:r>
      <w:r>
        <w:fldChar w:fldCharType="begin"/>
      </w:r>
      <w:r>
        <w:instrText xml:space="preserve"> PAGEREF _Toc13406 \h </w:instrText>
      </w:r>
      <w:r>
        <w:fldChar w:fldCharType="separate"/>
      </w:r>
      <w:r>
        <w:t>17</w:t>
      </w:r>
      <w:r>
        <w:fldChar w:fldCharType="end"/>
      </w:r>
      <w:r>
        <w:rPr>
          <w:rFonts w:hint="default" w:ascii="Times New Roman" w:hAnsi="Times New Roman" w:eastAsia="宋体" w:cs="Times New Roman"/>
          <w:color w:val="auto"/>
          <w:szCs w:val="20"/>
        </w:rPr>
        <w:fldChar w:fldCharType="end"/>
      </w:r>
    </w:p>
    <w:p w14:paraId="1452D6AE">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_Toc15233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5.3 健全网络虚拟财产继承的价值评估体系</w:t>
      </w:r>
      <w:r>
        <w:tab/>
      </w:r>
      <w:r>
        <w:fldChar w:fldCharType="begin"/>
      </w:r>
      <w:r>
        <w:instrText xml:space="preserve"> PAGEREF _Toc15233 \h </w:instrText>
      </w:r>
      <w:r>
        <w:fldChar w:fldCharType="separate"/>
      </w:r>
      <w:r>
        <w:t>18</w:t>
      </w:r>
      <w:r>
        <w:fldChar w:fldCharType="end"/>
      </w:r>
      <w:r>
        <w:rPr>
          <w:rFonts w:hint="default" w:ascii="Times New Roman" w:hAnsi="Times New Roman" w:eastAsia="宋体" w:cs="Times New Roman"/>
          <w:color w:val="auto"/>
          <w:szCs w:val="20"/>
        </w:rPr>
        <w:fldChar w:fldCharType="end"/>
      </w:r>
    </w:p>
    <w:p w14:paraId="4101B385">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_Toc9697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5.3.1 构建权威的价值评估标准与专业机构体系</w:t>
      </w:r>
      <w:r>
        <w:tab/>
      </w:r>
      <w:r>
        <w:fldChar w:fldCharType="begin"/>
      </w:r>
      <w:r>
        <w:instrText xml:space="preserve"> PAGEREF _Toc9697 \h </w:instrText>
      </w:r>
      <w:r>
        <w:fldChar w:fldCharType="separate"/>
      </w:r>
      <w:r>
        <w:t>18</w:t>
      </w:r>
      <w:r>
        <w:fldChar w:fldCharType="end"/>
      </w:r>
      <w:r>
        <w:rPr>
          <w:rFonts w:hint="default" w:ascii="Times New Roman" w:hAnsi="Times New Roman" w:eastAsia="宋体" w:cs="Times New Roman"/>
          <w:color w:val="auto"/>
          <w:szCs w:val="20"/>
        </w:rPr>
        <w:fldChar w:fldCharType="end"/>
      </w:r>
    </w:p>
    <w:p w14:paraId="567549B8">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_Toc1238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5.3.2 构建综合评估模型</w:t>
      </w:r>
      <w:r>
        <w:tab/>
      </w:r>
      <w:r>
        <w:fldChar w:fldCharType="begin"/>
      </w:r>
      <w:r>
        <w:instrText xml:space="preserve"> PAGEREF _Toc1238 \h </w:instrText>
      </w:r>
      <w:r>
        <w:fldChar w:fldCharType="separate"/>
      </w:r>
      <w:r>
        <w:t>18</w:t>
      </w:r>
      <w:r>
        <w:fldChar w:fldCharType="end"/>
      </w:r>
      <w:r>
        <w:rPr>
          <w:rFonts w:hint="default" w:ascii="Times New Roman" w:hAnsi="Times New Roman" w:eastAsia="宋体" w:cs="Times New Roman"/>
          <w:color w:val="auto"/>
          <w:szCs w:val="20"/>
        </w:rPr>
        <w:fldChar w:fldCharType="end"/>
      </w:r>
    </w:p>
    <w:p w14:paraId="36820771">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_Toc30053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5.4 明确网络虚拟财产的举证责任</w:t>
      </w:r>
      <w:r>
        <w:tab/>
      </w:r>
      <w:r>
        <w:fldChar w:fldCharType="begin"/>
      </w:r>
      <w:r>
        <w:instrText xml:space="preserve"> PAGEREF _Toc30053 \h </w:instrText>
      </w:r>
      <w:r>
        <w:fldChar w:fldCharType="separate"/>
      </w:r>
      <w:r>
        <w:t>19</w:t>
      </w:r>
      <w:r>
        <w:fldChar w:fldCharType="end"/>
      </w:r>
      <w:r>
        <w:rPr>
          <w:rFonts w:hint="default" w:ascii="Times New Roman" w:hAnsi="Times New Roman" w:eastAsia="宋体" w:cs="Times New Roman"/>
          <w:color w:val="auto"/>
          <w:szCs w:val="20"/>
        </w:rPr>
        <w:fldChar w:fldCharType="end"/>
      </w:r>
    </w:p>
    <w:p w14:paraId="0341585E">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_Toc1122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5.4.1 举证责任分配的现实考量</w:t>
      </w:r>
      <w:r>
        <w:tab/>
      </w:r>
      <w:r>
        <w:fldChar w:fldCharType="begin"/>
      </w:r>
      <w:r>
        <w:instrText xml:space="preserve"> PAGEREF _Toc1122 \h </w:instrText>
      </w:r>
      <w:r>
        <w:fldChar w:fldCharType="separate"/>
      </w:r>
      <w:r>
        <w:t>19</w:t>
      </w:r>
      <w:r>
        <w:fldChar w:fldCharType="end"/>
      </w:r>
      <w:r>
        <w:rPr>
          <w:rFonts w:hint="default" w:ascii="Times New Roman" w:hAnsi="Times New Roman" w:eastAsia="宋体" w:cs="Times New Roman"/>
          <w:color w:val="auto"/>
          <w:szCs w:val="20"/>
        </w:rPr>
        <w:fldChar w:fldCharType="end"/>
      </w:r>
    </w:p>
    <w:p w14:paraId="3F6795FF">
      <w:pPr>
        <w:pStyle w:val="11"/>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_Toc23203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5.4.2 探索应用区块链技术进行电子数据存证</w:t>
      </w:r>
      <w:r>
        <w:tab/>
      </w:r>
      <w:r>
        <w:fldChar w:fldCharType="begin"/>
      </w:r>
      <w:r>
        <w:instrText xml:space="preserve"> PAGEREF _Toc23203 \h </w:instrText>
      </w:r>
      <w:r>
        <w:fldChar w:fldCharType="separate"/>
      </w:r>
      <w:r>
        <w:t>19</w:t>
      </w:r>
      <w:r>
        <w:fldChar w:fldCharType="end"/>
      </w:r>
      <w:r>
        <w:rPr>
          <w:rFonts w:hint="default" w:ascii="Times New Roman" w:hAnsi="Times New Roman" w:eastAsia="宋体" w:cs="Times New Roman"/>
          <w:color w:val="auto"/>
          <w:szCs w:val="20"/>
        </w:rPr>
        <w:fldChar w:fldCharType="end"/>
      </w:r>
    </w:p>
    <w:p w14:paraId="50FB93FC">
      <w:pPr>
        <w:pStyle w:val="18"/>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_Toc7844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5.5 本章小结</w:t>
      </w:r>
      <w:r>
        <w:tab/>
      </w:r>
      <w:r>
        <w:fldChar w:fldCharType="begin"/>
      </w:r>
      <w:r>
        <w:instrText xml:space="preserve"> PAGEREF _Toc7844 \h </w:instrText>
      </w:r>
      <w:r>
        <w:fldChar w:fldCharType="separate"/>
      </w:r>
      <w:r>
        <w:t>20</w:t>
      </w:r>
      <w:r>
        <w:fldChar w:fldCharType="end"/>
      </w:r>
      <w:r>
        <w:rPr>
          <w:rFonts w:hint="default" w:ascii="Times New Roman" w:hAnsi="Times New Roman" w:eastAsia="宋体" w:cs="Times New Roman"/>
          <w:color w:val="auto"/>
          <w:szCs w:val="20"/>
        </w:rPr>
        <w:fldChar w:fldCharType="end"/>
      </w:r>
    </w:p>
    <w:p w14:paraId="6B12E85F">
      <w:pPr>
        <w:pStyle w:val="15"/>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_Toc19718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结论</w:t>
      </w:r>
      <w:r>
        <w:tab/>
      </w:r>
      <w:r>
        <w:fldChar w:fldCharType="begin"/>
      </w:r>
      <w:r>
        <w:instrText xml:space="preserve"> PAGEREF _Toc19718 \h </w:instrText>
      </w:r>
      <w:r>
        <w:fldChar w:fldCharType="separate"/>
      </w:r>
      <w:r>
        <w:t>21</w:t>
      </w:r>
      <w:r>
        <w:fldChar w:fldCharType="end"/>
      </w:r>
      <w:r>
        <w:rPr>
          <w:rFonts w:hint="default" w:ascii="Times New Roman" w:hAnsi="Times New Roman" w:eastAsia="宋体" w:cs="Times New Roman"/>
          <w:color w:val="auto"/>
          <w:szCs w:val="20"/>
        </w:rPr>
        <w:fldChar w:fldCharType="end"/>
      </w:r>
    </w:p>
    <w:p w14:paraId="53FFA647">
      <w:pPr>
        <w:pStyle w:val="15"/>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_Toc9889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参考文献</w:t>
      </w:r>
      <w:r>
        <w:tab/>
      </w:r>
      <w:r>
        <w:fldChar w:fldCharType="begin"/>
      </w:r>
      <w:r>
        <w:instrText xml:space="preserve"> PAGEREF _Toc9889 \h </w:instrText>
      </w:r>
      <w:r>
        <w:fldChar w:fldCharType="separate"/>
      </w:r>
      <w:r>
        <w:t>22</w:t>
      </w:r>
      <w:r>
        <w:fldChar w:fldCharType="end"/>
      </w:r>
      <w:r>
        <w:rPr>
          <w:rFonts w:hint="default" w:ascii="Times New Roman" w:hAnsi="Times New Roman" w:eastAsia="宋体" w:cs="Times New Roman"/>
          <w:color w:val="auto"/>
          <w:szCs w:val="20"/>
        </w:rPr>
        <w:fldChar w:fldCharType="end"/>
      </w:r>
    </w:p>
    <w:p w14:paraId="0E900888">
      <w:pPr>
        <w:pStyle w:val="15"/>
        <w:tabs>
          <w:tab w:val="right" w:leader="dot" w:pos="9071"/>
        </w:tabs>
      </w:pPr>
      <w:r>
        <w:rPr>
          <w:rFonts w:hint="default" w:ascii="Times New Roman" w:hAnsi="Times New Roman" w:eastAsia="宋体" w:cs="Times New Roman"/>
          <w:color w:val="auto"/>
          <w:szCs w:val="20"/>
        </w:rPr>
        <w:fldChar w:fldCharType="begin"/>
      </w:r>
      <w:r>
        <w:rPr>
          <w:rFonts w:hint="default" w:ascii="Times New Roman" w:hAnsi="Times New Roman" w:eastAsia="宋体" w:cs="Times New Roman"/>
          <w:szCs w:val="20"/>
        </w:rPr>
        <w:instrText xml:space="preserve"> HYPERLINK \l _Toc12215 </w:instrText>
      </w:r>
      <w:r>
        <w:rPr>
          <w:rFonts w:hint="default" w:ascii="Times New Roman" w:hAnsi="Times New Roman" w:eastAsia="宋体" w:cs="Times New Roman"/>
          <w:szCs w:val="20"/>
        </w:rPr>
        <w:fldChar w:fldCharType="separate"/>
      </w:r>
      <w:r>
        <w:rPr>
          <w:rFonts w:hint="default" w:ascii="Times New Roman" w:hAnsi="Times New Roman" w:cs="Times New Roman"/>
          <w:szCs w:val="20"/>
        </w:rPr>
        <w:t>致谢</w:t>
      </w:r>
      <w:r>
        <w:tab/>
      </w:r>
      <w:r>
        <w:fldChar w:fldCharType="begin"/>
      </w:r>
      <w:r>
        <w:instrText xml:space="preserve"> PAGEREF _Toc12215 \h </w:instrText>
      </w:r>
      <w:r>
        <w:fldChar w:fldCharType="separate"/>
      </w:r>
      <w:r>
        <w:t>24</w:t>
      </w:r>
      <w:r>
        <w:fldChar w:fldCharType="end"/>
      </w:r>
      <w:r>
        <w:rPr>
          <w:rFonts w:hint="default" w:ascii="Times New Roman" w:hAnsi="Times New Roman" w:eastAsia="宋体" w:cs="Times New Roman"/>
          <w:color w:val="auto"/>
          <w:szCs w:val="20"/>
        </w:rPr>
        <w:fldChar w:fldCharType="end"/>
      </w:r>
    </w:p>
    <w:p w14:paraId="51CEF64F">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color w:val="auto"/>
          <w:sz w:val="24"/>
          <w:szCs w:val="20"/>
        </w:rPr>
      </w:pPr>
      <w:r>
        <w:rPr>
          <w:rFonts w:hint="default" w:ascii="Times New Roman" w:hAnsi="Times New Roman" w:eastAsia="宋体" w:cs="Times New Roman"/>
          <w:color w:val="auto"/>
          <w:szCs w:val="20"/>
        </w:rPr>
        <w:fldChar w:fldCharType="end"/>
      </w:r>
    </w:p>
    <w:p w14:paraId="2981EBB8">
      <w:pPr>
        <w:pageBreakBefore w:val="0"/>
        <w:widowControl w:val="0"/>
        <w:kinsoku/>
        <w:wordWrap/>
        <w:overflowPunct/>
        <w:topLinePunct w:val="0"/>
        <w:autoSpaceDE/>
        <w:autoSpaceDN/>
        <w:bidi w:val="0"/>
        <w:textAlignment w:val="auto"/>
        <w:rPr>
          <w:rFonts w:hint="default" w:ascii="Times New Roman" w:hAnsi="Times New Roman" w:cs="Times New Roman"/>
          <w:color w:val="auto"/>
          <w:szCs w:val="20"/>
        </w:rPr>
        <w:sectPr>
          <w:headerReference r:id="rId10" w:type="default"/>
          <w:footnotePr>
            <w:numFmt w:val="decimalEnclosedCircleChinese"/>
            <w:numRestart w:val="eachPage"/>
          </w:footnotePr>
          <w:pgSz w:w="11905" w:h="16838"/>
          <w:pgMar w:top="1587" w:right="1417" w:bottom="1587" w:left="1417" w:header="1134" w:footer="1134" w:gutter="0"/>
          <w:pgBorders>
            <w:top w:val="none" w:sz="0" w:space="0"/>
            <w:left w:val="none" w:sz="0" w:space="0"/>
            <w:bottom w:val="none" w:sz="0" w:space="0"/>
            <w:right w:val="none" w:sz="0" w:space="0"/>
          </w:pgBorders>
          <w:pgNumType w:fmt="upperRoman"/>
          <w:cols w:space="0" w:num="1"/>
          <w:rtlGutter w:val="0"/>
          <w:docGrid w:linePitch="312" w:charSpace="0"/>
        </w:sectPr>
      </w:pPr>
    </w:p>
    <w:bookmarkEnd w:id="58"/>
    <w:p w14:paraId="63E4A79A">
      <w:pPr>
        <w:pStyle w:val="2"/>
        <w:bidi w:val="0"/>
        <w:rPr>
          <w:rFonts w:hint="default"/>
        </w:rPr>
      </w:pPr>
      <w:bookmarkStart w:id="59" w:name="_Toc15110"/>
      <w:bookmarkStart w:id="60" w:name="_Toc29521"/>
      <w:r>
        <w:rPr>
          <w:rFonts w:hint="default"/>
        </w:rPr>
        <w:t>第1章 绪论</w:t>
      </w:r>
      <w:bookmarkEnd w:id="59"/>
      <w:bookmarkEnd w:id="60"/>
    </w:p>
    <w:p w14:paraId="50DF0EE1">
      <w:pPr>
        <w:pStyle w:val="3"/>
        <w:bidi w:val="0"/>
        <w:rPr>
          <w:rFonts w:hint="default"/>
        </w:rPr>
      </w:pPr>
      <w:bookmarkStart w:id="61" w:name="_Toc2664"/>
      <w:bookmarkStart w:id="62" w:name="_Toc8168"/>
      <w:r>
        <w:rPr>
          <w:rFonts w:hint="default"/>
        </w:rPr>
        <w:t>1.1 研究背景</w:t>
      </w:r>
      <w:bookmarkEnd w:id="61"/>
      <w:bookmarkEnd w:id="62"/>
    </w:p>
    <w:p w14:paraId="6ABD6516">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随着互联网行业的日益兴起，其中以网络游戏为代表的信息产业在中国发展十分迅速，几年之内市场占有率持续增加，市场规模也迅速扩大，互联网诞生以来，人们与互联网之间已经产生了很多联系，根据中国音数协游戏工委与中国游戏产业研究院发布的《2023年中国游戏产业报告》中指出，2023年我国游戏用户总数为6.86亿人，为历史新高点，游戏市场实际销售收入达到了3029.64亿元，同比增长了13.95%，我国自主研发游戏国内市场实销收入2563.75亿元，同比增长15.29%</w:t>
      </w:r>
      <w:r>
        <w:rPr>
          <w:rFonts w:hint="default" w:ascii="Times New Roman" w:hAnsi="Times New Roman" w:eastAsia="宋体" w:cs="Times New Roman"/>
          <w:color w:val="auto"/>
          <w:sz w:val="24"/>
          <w:szCs w:val="24"/>
          <w:vertAlign w:val="superscript"/>
        </w:rPr>
        <w:fldChar w:fldCharType="begin"/>
      </w:r>
      <w:r>
        <w:rPr>
          <w:rFonts w:hint="default" w:ascii="Times New Roman" w:hAnsi="Times New Roman" w:eastAsia="宋体" w:cs="Times New Roman"/>
          <w:color w:val="auto"/>
          <w:sz w:val="24"/>
          <w:szCs w:val="24"/>
          <w:vertAlign w:val="superscript"/>
        </w:rPr>
        <w:instrText xml:space="preserve"> REF _Ref9199 \r \h </w:instrText>
      </w:r>
      <w:r>
        <w:rPr>
          <w:rFonts w:hint="default" w:ascii="Times New Roman" w:hAnsi="Times New Roman" w:eastAsia="宋体" w:cs="Times New Roman"/>
          <w:color w:val="auto"/>
          <w:sz w:val="24"/>
          <w:szCs w:val="24"/>
          <w:vertAlign w:val="superscript"/>
        </w:rPr>
        <w:fldChar w:fldCharType="separate"/>
      </w:r>
      <w:r>
        <w:rPr>
          <w:rFonts w:hint="default" w:ascii="Times New Roman" w:hAnsi="Times New Roman" w:eastAsia="宋体" w:cs="Times New Roman"/>
          <w:color w:val="auto"/>
          <w:sz w:val="24"/>
          <w:szCs w:val="24"/>
          <w:vertAlign w:val="superscript"/>
        </w:rPr>
        <w:t>[1]</w:t>
      </w:r>
      <w:r>
        <w:rPr>
          <w:rFonts w:hint="default" w:ascii="Times New Roman" w:hAnsi="Times New Roman" w:eastAsia="宋体" w:cs="Times New Roman"/>
          <w:color w:val="auto"/>
          <w:sz w:val="24"/>
          <w:szCs w:val="24"/>
          <w:vertAlign w:val="superscript"/>
        </w:rPr>
        <w:fldChar w:fldCharType="end"/>
      </w:r>
      <w:r>
        <w:rPr>
          <w:rFonts w:hint="default" w:ascii="Times New Roman" w:hAnsi="Times New Roman" w:eastAsia="宋体" w:cs="Times New Roman"/>
          <w:color w:val="auto"/>
          <w:sz w:val="24"/>
          <w:szCs w:val="24"/>
        </w:rPr>
        <w:t>。同时随着游戏产业的不断完善和游戏用户人数不断增加，大量涉及网络虚拟财产纠纷也随之而来，随着网络用户逐渐步入老年阶段，他们在互联网遗留下来很多数字财产，例如域名、游戏资产和账号等等，这些数字财产的最终归属值得我们思考</w:t>
      </w:r>
      <w:r>
        <w:rPr>
          <w:rFonts w:hint="default" w:ascii="Times New Roman" w:hAnsi="Times New Roman" w:eastAsia="宋体" w:cs="Times New Roman"/>
          <w:color w:val="auto"/>
          <w:sz w:val="24"/>
          <w:szCs w:val="24"/>
          <w:vertAlign w:val="superscript"/>
        </w:rPr>
        <w:fldChar w:fldCharType="begin"/>
      </w:r>
      <w:r>
        <w:rPr>
          <w:rFonts w:hint="default" w:ascii="Times New Roman" w:hAnsi="Times New Roman" w:eastAsia="宋体" w:cs="Times New Roman"/>
          <w:color w:val="auto"/>
          <w:sz w:val="24"/>
          <w:szCs w:val="24"/>
          <w:vertAlign w:val="superscript"/>
        </w:rPr>
        <w:instrText xml:space="preserve"> REF _Ref25283 \r \h </w:instrText>
      </w:r>
      <w:r>
        <w:rPr>
          <w:rFonts w:hint="default" w:ascii="Times New Roman" w:hAnsi="Times New Roman" w:eastAsia="宋体" w:cs="Times New Roman"/>
          <w:color w:val="auto"/>
          <w:sz w:val="24"/>
          <w:szCs w:val="24"/>
          <w:vertAlign w:val="superscript"/>
        </w:rPr>
        <w:fldChar w:fldCharType="separate"/>
      </w:r>
      <w:r>
        <w:rPr>
          <w:rFonts w:hint="default" w:ascii="Times New Roman" w:hAnsi="Times New Roman" w:eastAsia="宋体" w:cs="Times New Roman"/>
          <w:color w:val="auto"/>
          <w:sz w:val="24"/>
          <w:szCs w:val="24"/>
          <w:vertAlign w:val="superscript"/>
        </w:rPr>
        <w:t>[2]</w:t>
      </w:r>
      <w:r>
        <w:rPr>
          <w:rFonts w:hint="default" w:ascii="Times New Roman" w:hAnsi="Times New Roman" w:eastAsia="宋体" w:cs="Times New Roman"/>
          <w:color w:val="auto"/>
          <w:sz w:val="24"/>
          <w:szCs w:val="24"/>
          <w:vertAlign w:val="superscript"/>
        </w:rPr>
        <w:fldChar w:fldCharType="end"/>
      </w:r>
      <w:r>
        <w:rPr>
          <w:rFonts w:hint="default" w:ascii="Times New Roman" w:hAnsi="Times New Roman" w:eastAsia="宋体" w:cs="Times New Roman"/>
          <w:color w:val="auto"/>
          <w:sz w:val="24"/>
          <w:szCs w:val="24"/>
        </w:rPr>
        <w:t>。《民法典》第一百二十七条仅仅对虚拟财产做了宣示性保护规定</w:t>
      </w:r>
      <w:r>
        <w:rPr>
          <w:rFonts w:hint="default" w:ascii="Times New Roman" w:hAnsi="Times New Roman" w:eastAsia="宋体" w:cs="Times New Roman"/>
          <w:color w:val="auto"/>
          <w:sz w:val="24"/>
          <w:szCs w:val="24"/>
          <w:vertAlign w:val="superscript"/>
        </w:rPr>
        <w:fldChar w:fldCharType="begin"/>
      </w:r>
      <w:r>
        <w:rPr>
          <w:rFonts w:hint="default" w:ascii="Times New Roman" w:hAnsi="Times New Roman" w:eastAsia="宋体" w:cs="Times New Roman"/>
          <w:color w:val="auto"/>
          <w:sz w:val="24"/>
          <w:szCs w:val="24"/>
          <w:vertAlign w:val="superscript"/>
        </w:rPr>
        <w:instrText xml:space="preserve"> REF _Ref9598 \r \h </w:instrText>
      </w:r>
      <w:r>
        <w:rPr>
          <w:rFonts w:hint="default" w:ascii="Times New Roman" w:hAnsi="Times New Roman" w:eastAsia="宋体" w:cs="Times New Roman"/>
          <w:color w:val="auto"/>
          <w:sz w:val="24"/>
          <w:szCs w:val="24"/>
          <w:vertAlign w:val="superscript"/>
        </w:rPr>
        <w:fldChar w:fldCharType="separate"/>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vertAlign w:val="superscript"/>
        </w:rPr>
        <w:fldChar w:fldCharType="end"/>
      </w:r>
      <w:r>
        <w:rPr>
          <w:rFonts w:hint="default" w:ascii="Times New Roman" w:hAnsi="Times New Roman" w:eastAsia="宋体" w:cs="Times New Roman"/>
          <w:color w:val="auto"/>
          <w:sz w:val="24"/>
          <w:szCs w:val="24"/>
        </w:rPr>
        <w:t>，这一项规定既不能满足公众对网络虚拟财产充分利用的实际需求，也不能为司法实践中处理网络虚拟财产权属纠纷提供法律依据</w:t>
      </w:r>
      <w:r>
        <w:rPr>
          <w:rFonts w:hint="default" w:ascii="Times New Roman" w:hAnsi="Times New Roman" w:eastAsia="宋体" w:cs="Times New Roman"/>
          <w:color w:val="auto"/>
          <w:sz w:val="24"/>
          <w:szCs w:val="24"/>
          <w:vertAlign w:val="superscript"/>
        </w:rPr>
        <w:fldChar w:fldCharType="begin"/>
      </w:r>
      <w:r>
        <w:rPr>
          <w:rFonts w:hint="default" w:ascii="Times New Roman" w:hAnsi="Times New Roman" w:eastAsia="宋体" w:cs="Times New Roman"/>
          <w:color w:val="auto"/>
          <w:sz w:val="24"/>
          <w:szCs w:val="24"/>
          <w:vertAlign w:val="superscript"/>
        </w:rPr>
        <w:instrText xml:space="preserve"> REF _Ref10104 \r \h </w:instrText>
      </w:r>
      <w:r>
        <w:rPr>
          <w:rFonts w:hint="default" w:ascii="Times New Roman" w:hAnsi="Times New Roman" w:eastAsia="宋体" w:cs="Times New Roman"/>
          <w:color w:val="auto"/>
          <w:sz w:val="24"/>
          <w:szCs w:val="24"/>
          <w:vertAlign w:val="superscript"/>
        </w:rPr>
        <w:fldChar w:fldCharType="separate"/>
      </w:r>
      <w:r>
        <w:rPr>
          <w:rFonts w:hint="default" w:ascii="Times New Roman" w:hAnsi="Times New Roman" w:eastAsia="宋体" w:cs="Times New Roman"/>
          <w:color w:val="auto"/>
          <w:sz w:val="24"/>
          <w:szCs w:val="24"/>
          <w:vertAlign w:val="superscript"/>
        </w:rPr>
        <w:t>[4]</w:t>
      </w:r>
      <w:r>
        <w:rPr>
          <w:rFonts w:hint="default" w:ascii="Times New Roman" w:hAnsi="Times New Roman" w:eastAsia="宋体" w:cs="Times New Roman"/>
          <w:color w:val="auto"/>
          <w:sz w:val="24"/>
          <w:szCs w:val="24"/>
          <w:vertAlign w:val="superscript"/>
        </w:rPr>
        <w:fldChar w:fldCharType="end"/>
      </w:r>
      <w:r>
        <w:rPr>
          <w:rFonts w:hint="default" w:ascii="Times New Roman" w:hAnsi="Times New Roman" w:eastAsia="宋体" w:cs="Times New Roman"/>
          <w:color w:val="auto"/>
          <w:sz w:val="24"/>
          <w:szCs w:val="24"/>
        </w:rPr>
        <w:t>。</w:t>
      </w:r>
    </w:p>
    <w:p w14:paraId="451DE7A0">
      <w:pPr>
        <w:pStyle w:val="3"/>
        <w:bidi w:val="0"/>
        <w:rPr>
          <w:rFonts w:hint="default"/>
        </w:rPr>
      </w:pPr>
      <w:bookmarkStart w:id="63" w:name="_Toc9615"/>
      <w:bookmarkStart w:id="64" w:name="_Toc1966"/>
      <w:r>
        <w:rPr>
          <w:rFonts w:hint="default"/>
        </w:rPr>
        <w:t>1.2 研究目的及意义</w:t>
      </w:r>
      <w:bookmarkEnd w:id="63"/>
      <w:bookmarkEnd w:id="64"/>
    </w:p>
    <w:p w14:paraId="776C1697">
      <w:pPr>
        <w:pStyle w:val="4"/>
        <w:bidi w:val="0"/>
        <w:rPr>
          <w:rFonts w:hint="default"/>
        </w:rPr>
      </w:pPr>
      <w:bookmarkStart w:id="65" w:name="_Toc18955"/>
      <w:bookmarkStart w:id="66" w:name="_Toc174361285"/>
      <w:bookmarkStart w:id="67" w:name="_Toc4554"/>
      <w:r>
        <w:rPr>
          <w:rFonts w:hint="default"/>
        </w:rPr>
        <w:t>1.2.1 研究目的</w:t>
      </w:r>
      <w:bookmarkEnd w:id="65"/>
      <w:bookmarkEnd w:id="66"/>
      <w:bookmarkEnd w:id="67"/>
    </w:p>
    <w:p w14:paraId="613AF9A5">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随着这互联网的发展，现实生活中关于虚拟财产继承的纠纷大量涌现，同时虚拟财产不仅仅具有财产价值，对于继承人来说，更有着精神层面的价值和意义。大数据时代的到来，网民人数的不断增长使得虚拟财产能否继承越来越为人们所关注，虚拟财产能够被继承将成为未来社会的普遍需求。</w:t>
      </w:r>
    </w:p>
    <w:p w14:paraId="62203C5D">
      <w:pPr>
        <w:pStyle w:val="4"/>
        <w:bidi w:val="0"/>
        <w:rPr>
          <w:rFonts w:hint="default"/>
        </w:rPr>
      </w:pPr>
      <w:bookmarkStart w:id="68" w:name="_Toc174361286"/>
      <w:bookmarkStart w:id="69" w:name="_Toc14139"/>
      <w:bookmarkStart w:id="70" w:name="_Toc7956"/>
      <w:r>
        <w:rPr>
          <w:rFonts w:hint="default"/>
        </w:rPr>
        <w:t>1.2.2 研究意义</w:t>
      </w:r>
      <w:bookmarkEnd w:id="68"/>
      <w:bookmarkEnd w:id="69"/>
      <w:bookmarkEnd w:id="70"/>
    </w:p>
    <w:p w14:paraId="2A0C3599">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学界对于虚拟财产的性质定位还存在多有争论，对于虚拟财产能否继承也没有定论。而在司法实践中，由于立法的不明确导致判决结果也多有不同，甚至在立案登记制施行之前还存在拒绝受理或不予立案的状况。因此，虚拟财产的继承十分必要，本文聚焦公民遗留于互联网的虚拟财产处置问题，致力于解决现行法律在虚拟财产继承领域的制度缺失与实践困境。</w:t>
      </w:r>
    </w:p>
    <w:p w14:paraId="317C892F">
      <w:pPr>
        <w:pStyle w:val="3"/>
        <w:bidi w:val="0"/>
        <w:rPr>
          <w:rFonts w:hint="default"/>
        </w:rPr>
      </w:pPr>
      <w:bookmarkStart w:id="71" w:name="_Toc28685"/>
      <w:bookmarkStart w:id="72" w:name="_Toc24302"/>
      <w:r>
        <w:rPr>
          <w:rFonts w:hint="default"/>
        </w:rPr>
        <w:t>1.3 国内外研究现状</w:t>
      </w:r>
      <w:bookmarkEnd w:id="71"/>
      <w:bookmarkEnd w:id="72"/>
    </w:p>
    <w:p w14:paraId="64DF47E5">
      <w:pPr>
        <w:pStyle w:val="4"/>
        <w:bidi w:val="0"/>
        <w:rPr>
          <w:rFonts w:hint="default"/>
        </w:rPr>
      </w:pPr>
      <w:bookmarkStart w:id="73" w:name="_Toc24467"/>
      <w:bookmarkStart w:id="74" w:name="_Toc23664"/>
      <w:r>
        <w:rPr>
          <w:rFonts w:hint="default"/>
        </w:rPr>
        <w:t>1.3.1 国外研究现状</w:t>
      </w:r>
      <w:bookmarkEnd w:id="73"/>
      <w:bookmarkEnd w:id="74"/>
    </w:p>
    <w:p w14:paraId="5C489855">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世界各国在虚拟财产法律规制方面呈现出多样化的立法模式和理论观点，这种差异既反映了各国互联网经济发展阶段的不同，也体现了法律传统与文化背景的独特性。</w:t>
      </w:r>
    </w:p>
    <w:p w14:paraId="3D6D9EFE">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一是关于网络虚拟财产继承的必要性研究，</w:t>
      </w:r>
      <w:r>
        <w:rPr>
          <w:rFonts w:hint="default" w:ascii="Times New Roman" w:hAnsi="Times New Roman" w:eastAsia="宋体" w:cs="Times New Roman"/>
          <w:sz w:val="24"/>
          <w:szCs w:val="24"/>
        </w:rPr>
        <w:t>Bing H</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2022）</w:t>
      </w:r>
      <w:r>
        <w:rPr>
          <w:rFonts w:hint="default" w:ascii="Times New Roman" w:hAnsi="Times New Roman" w:eastAsia="宋体" w:cs="Times New Roman"/>
          <w:color w:val="auto"/>
          <w:kern w:val="0"/>
          <w:sz w:val="24"/>
          <w:szCs w:val="24"/>
          <w:lang w:bidi="ar"/>
        </w:rPr>
        <w:t>肯定了网络虚拟财产提前规划的必要性，并分析了存在的障碍以及网络虚拟财产继承问题的发展远景</w:t>
      </w:r>
      <w:r>
        <w:rPr>
          <w:rFonts w:hint="default" w:ascii="Times New Roman" w:hAnsi="Times New Roman" w:eastAsia="宋体" w:cs="Times New Roman"/>
          <w:color w:val="auto"/>
          <w:kern w:val="0"/>
          <w:sz w:val="24"/>
          <w:szCs w:val="24"/>
          <w:vertAlign w:val="superscript"/>
          <w:lang w:bidi="ar"/>
        </w:rPr>
        <w:fldChar w:fldCharType="begin"/>
      </w:r>
      <w:r>
        <w:rPr>
          <w:rFonts w:hint="default" w:ascii="Times New Roman" w:hAnsi="Times New Roman" w:eastAsia="宋体" w:cs="Times New Roman"/>
          <w:color w:val="auto"/>
          <w:kern w:val="0"/>
          <w:sz w:val="24"/>
          <w:szCs w:val="24"/>
          <w:vertAlign w:val="superscript"/>
          <w:lang w:bidi="ar"/>
        </w:rPr>
        <w:instrText xml:space="preserve"> REF _Ref11090 \r \h </w:instrText>
      </w:r>
      <w:r>
        <w:rPr>
          <w:rFonts w:hint="default" w:ascii="Times New Roman" w:hAnsi="Times New Roman" w:eastAsia="宋体" w:cs="Times New Roman"/>
          <w:color w:val="auto"/>
          <w:kern w:val="0"/>
          <w:sz w:val="24"/>
          <w:szCs w:val="24"/>
          <w:vertAlign w:val="superscript"/>
          <w:lang w:bidi="ar"/>
        </w:rPr>
        <w:fldChar w:fldCharType="separate"/>
      </w:r>
      <w:r>
        <w:rPr>
          <w:rFonts w:hint="default" w:ascii="Times New Roman" w:hAnsi="Times New Roman" w:eastAsia="宋体" w:cs="Times New Roman"/>
          <w:color w:val="auto"/>
          <w:kern w:val="0"/>
          <w:sz w:val="24"/>
          <w:szCs w:val="24"/>
          <w:vertAlign w:val="superscript"/>
          <w:lang w:bidi="ar"/>
        </w:rPr>
        <w:t>[5]</w:t>
      </w:r>
      <w:r>
        <w:rPr>
          <w:rFonts w:hint="default" w:ascii="Times New Roman" w:hAnsi="Times New Roman" w:eastAsia="宋体" w:cs="Times New Roman"/>
          <w:color w:val="auto"/>
          <w:kern w:val="0"/>
          <w:sz w:val="24"/>
          <w:szCs w:val="24"/>
          <w:vertAlign w:val="superscript"/>
          <w:lang w:bidi="ar"/>
        </w:rPr>
        <w:fldChar w:fldCharType="end"/>
      </w:r>
      <w:r>
        <w:rPr>
          <w:rFonts w:hint="default" w:ascii="Times New Roman" w:hAnsi="Times New Roman" w:eastAsia="宋体" w:cs="Times New Roman"/>
          <w:color w:val="auto"/>
          <w:kern w:val="0"/>
          <w:sz w:val="24"/>
          <w:szCs w:val="24"/>
          <w:lang w:bidi="ar"/>
        </w:rPr>
        <w:t>；</w:t>
      </w:r>
      <w:r>
        <w:rPr>
          <w:rFonts w:hint="default" w:ascii="Times New Roman" w:hAnsi="Times New Roman" w:eastAsia="宋体" w:cs="Times New Roman"/>
          <w:sz w:val="24"/>
          <w:szCs w:val="24"/>
        </w:rPr>
        <w:t>Li X</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Xiao X</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2023）</w:t>
      </w:r>
      <w:r>
        <w:rPr>
          <w:rFonts w:hint="default" w:ascii="Times New Roman" w:hAnsi="Times New Roman" w:eastAsia="宋体" w:cs="Times New Roman"/>
          <w:color w:val="auto"/>
          <w:kern w:val="0"/>
          <w:sz w:val="24"/>
          <w:szCs w:val="24"/>
          <w:lang w:bidi="ar"/>
        </w:rPr>
        <w:t>从遗产规划的角度描述了这种新形式的财产带来的挑战</w:t>
      </w:r>
      <w:r>
        <w:rPr>
          <w:rFonts w:hint="default" w:ascii="Times New Roman" w:hAnsi="Times New Roman" w:eastAsia="宋体" w:cs="Times New Roman"/>
          <w:color w:val="auto"/>
          <w:kern w:val="0"/>
          <w:sz w:val="24"/>
          <w:szCs w:val="24"/>
          <w:vertAlign w:val="superscript"/>
          <w:lang w:bidi="ar"/>
        </w:rPr>
        <w:fldChar w:fldCharType="begin"/>
      </w:r>
      <w:r>
        <w:rPr>
          <w:rFonts w:hint="default" w:ascii="Times New Roman" w:hAnsi="Times New Roman" w:eastAsia="宋体" w:cs="Times New Roman"/>
          <w:color w:val="auto"/>
          <w:kern w:val="0"/>
          <w:sz w:val="24"/>
          <w:szCs w:val="24"/>
          <w:vertAlign w:val="superscript"/>
          <w:lang w:bidi="ar"/>
        </w:rPr>
        <w:instrText xml:space="preserve"> REF _Ref11090 \r \h </w:instrText>
      </w:r>
      <w:r>
        <w:rPr>
          <w:rFonts w:hint="default" w:ascii="Times New Roman" w:hAnsi="Times New Roman" w:eastAsia="宋体" w:cs="Times New Roman"/>
          <w:color w:val="auto"/>
          <w:kern w:val="0"/>
          <w:sz w:val="24"/>
          <w:szCs w:val="24"/>
          <w:vertAlign w:val="superscript"/>
          <w:lang w:bidi="ar"/>
        </w:rPr>
        <w:fldChar w:fldCharType="separate"/>
      </w:r>
      <w:r>
        <w:rPr>
          <w:rFonts w:hint="default" w:ascii="Times New Roman" w:hAnsi="Times New Roman" w:eastAsia="宋体" w:cs="Times New Roman"/>
          <w:color w:val="auto"/>
          <w:kern w:val="0"/>
          <w:sz w:val="24"/>
          <w:szCs w:val="24"/>
          <w:vertAlign w:val="superscript"/>
          <w:lang w:bidi="ar"/>
        </w:rPr>
        <w:t>[</w:t>
      </w:r>
      <w:r>
        <w:rPr>
          <w:rFonts w:hint="eastAsia" w:ascii="Times New Roman" w:hAnsi="Times New Roman" w:eastAsia="宋体" w:cs="Times New Roman"/>
          <w:color w:val="auto"/>
          <w:kern w:val="0"/>
          <w:sz w:val="24"/>
          <w:szCs w:val="24"/>
          <w:vertAlign w:val="superscript"/>
          <w:lang w:val="en-US" w:eastAsia="zh-CN" w:bidi="ar"/>
        </w:rPr>
        <w:t>6</w:t>
      </w:r>
      <w:r>
        <w:rPr>
          <w:rFonts w:hint="default" w:ascii="Times New Roman" w:hAnsi="Times New Roman" w:eastAsia="宋体" w:cs="Times New Roman"/>
          <w:color w:val="auto"/>
          <w:kern w:val="0"/>
          <w:sz w:val="24"/>
          <w:szCs w:val="24"/>
          <w:vertAlign w:val="superscript"/>
          <w:lang w:bidi="ar"/>
        </w:rPr>
        <w:t>]</w:t>
      </w:r>
      <w:r>
        <w:rPr>
          <w:rFonts w:hint="default" w:ascii="Times New Roman" w:hAnsi="Times New Roman" w:eastAsia="宋体" w:cs="Times New Roman"/>
          <w:color w:val="auto"/>
          <w:kern w:val="0"/>
          <w:sz w:val="24"/>
          <w:szCs w:val="24"/>
          <w:vertAlign w:val="superscript"/>
          <w:lang w:bidi="ar"/>
        </w:rPr>
        <w:fldChar w:fldCharType="end"/>
      </w:r>
      <w:r>
        <w:rPr>
          <w:rFonts w:hint="default" w:ascii="Times New Roman" w:hAnsi="Times New Roman" w:eastAsia="宋体" w:cs="Times New Roman"/>
          <w:color w:val="auto"/>
          <w:kern w:val="0"/>
          <w:sz w:val="24"/>
          <w:szCs w:val="24"/>
          <w:lang w:bidi="ar"/>
        </w:rPr>
        <w:t>。</w:t>
      </w:r>
    </w:p>
    <w:p w14:paraId="4BED0754">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二是关于网络虚拟财产的可行性研究。</w:t>
      </w:r>
      <w:r>
        <w:rPr>
          <w:rFonts w:hint="default" w:ascii="Times New Roman" w:hAnsi="Times New Roman" w:eastAsia="宋体" w:cs="Times New Roman"/>
          <w:sz w:val="24"/>
          <w:szCs w:val="24"/>
        </w:rPr>
        <w:t>Yuyuan X</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2024）</w:t>
      </w:r>
      <w:r>
        <w:rPr>
          <w:rFonts w:hint="default" w:ascii="Times New Roman" w:hAnsi="Times New Roman" w:eastAsia="宋体" w:cs="Times New Roman"/>
          <w:color w:val="auto"/>
          <w:kern w:val="0"/>
          <w:sz w:val="24"/>
          <w:szCs w:val="24"/>
          <w:lang w:bidi="ar"/>
        </w:rPr>
        <w:t>论述了网络虚拟财产继承的理由，并对其进行了理性的设计，比如建立遗嘱、委托，对其进行专门的立法等</w:t>
      </w:r>
      <w:r>
        <w:rPr>
          <w:rFonts w:hint="default" w:ascii="Times New Roman" w:hAnsi="Times New Roman" w:eastAsia="宋体" w:cs="Times New Roman"/>
          <w:color w:val="auto"/>
          <w:kern w:val="0"/>
          <w:sz w:val="24"/>
          <w:szCs w:val="24"/>
          <w:vertAlign w:val="superscript"/>
          <w:lang w:bidi="ar"/>
        </w:rPr>
        <w:fldChar w:fldCharType="begin"/>
      </w:r>
      <w:r>
        <w:rPr>
          <w:rFonts w:hint="default" w:ascii="Times New Roman" w:hAnsi="Times New Roman" w:eastAsia="宋体" w:cs="Times New Roman"/>
          <w:color w:val="auto"/>
          <w:kern w:val="0"/>
          <w:sz w:val="24"/>
          <w:szCs w:val="24"/>
          <w:vertAlign w:val="superscript"/>
          <w:lang w:bidi="ar"/>
        </w:rPr>
        <w:instrText xml:space="preserve"> REF _Ref11413 \r \h </w:instrText>
      </w:r>
      <w:r>
        <w:rPr>
          <w:rFonts w:hint="default" w:ascii="Times New Roman" w:hAnsi="Times New Roman" w:eastAsia="宋体" w:cs="Times New Roman"/>
          <w:color w:val="auto"/>
          <w:kern w:val="0"/>
          <w:sz w:val="24"/>
          <w:szCs w:val="24"/>
          <w:vertAlign w:val="superscript"/>
          <w:lang w:bidi="ar"/>
        </w:rPr>
        <w:fldChar w:fldCharType="separate"/>
      </w:r>
      <w:r>
        <w:rPr>
          <w:rFonts w:hint="default" w:ascii="Times New Roman" w:hAnsi="Times New Roman" w:eastAsia="宋体" w:cs="Times New Roman"/>
          <w:color w:val="auto"/>
          <w:kern w:val="0"/>
          <w:sz w:val="24"/>
          <w:szCs w:val="24"/>
          <w:vertAlign w:val="superscript"/>
          <w:lang w:bidi="ar"/>
        </w:rPr>
        <w:t>[</w:t>
      </w:r>
      <w:r>
        <w:rPr>
          <w:rFonts w:hint="eastAsia" w:ascii="Times New Roman" w:hAnsi="Times New Roman" w:eastAsia="宋体" w:cs="Times New Roman"/>
          <w:color w:val="auto"/>
          <w:kern w:val="0"/>
          <w:sz w:val="24"/>
          <w:szCs w:val="24"/>
          <w:vertAlign w:val="superscript"/>
          <w:lang w:val="en-US" w:eastAsia="zh-CN" w:bidi="ar"/>
        </w:rPr>
        <w:t>7</w:t>
      </w:r>
      <w:r>
        <w:rPr>
          <w:rFonts w:hint="default" w:ascii="Times New Roman" w:hAnsi="Times New Roman" w:eastAsia="宋体" w:cs="Times New Roman"/>
          <w:color w:val="auto"/>
          <w:kern w:val="0"/>
          <w:sz w:val="24"/>
          <w:szCs w:val="24"/>
          <w:vertAlign w:val="superscript"/>
          <w:lang w:bidi="ar"/>
        </w:rPr>
        <w:t>]</w:t>
      </w:r>
      <w:r>
        <w:rPr>
          <w:rFonts w:hint="default" w:ascii="Times New Roman" w:hAnsi="Times New Roman" w:eastAsia="宋体" w:cs="Times New Roman"/>
          <w:color w:val="auto"/>
          <w:kern w:val="0"/>
          <w:sz w:val="24"/>
          <w:szCs w:val="24"/>
          <w:vertAlign w:val="superscript"/>
          <w:lang w:bidi="ar"/>
        </w:rPr>
        <w:fldChar w:fldCharType="end"/>
      </w:r>
      <w:r>
        <w:rPr>
          <w:rFonts w:hint="default" w:ascii="Times New Roman" w:hAnsi="Times New Roman" w:eastAsia="宋体" w:cs="Times New Roman"/>
          <w:color w:val="auto"/>
          <w:kern w:val="0"/>
          <w:sz w:val="24"/>
          <w:szCs w:val="24"/>
          <w:lang w:bidi="ar"/>
        </w:rPr>
        <w:t>。</w:t>
      </w:r>
    </w:p>
    <w:p w14:paraId="7E7D7555">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三是关于网络虚拟财产继承制度的设计研究。</w:t>
      </w:r>
      <w:r>
        <w:rPr>
          <w:rFonts w:hint="default" w:ascii="Times New Roman" w:hAnsi="Times New Roman" w:eastAsia="宋体" w:cs="Times New Roman"/>
          <w:sz w:val="24"/>
          <w:szCs w:val="24"/>
        </w:rPr>
        <w:t>Lifang W</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2024）</w:t>
      </w:r>
      <w:r>
        <w:rPr>
          <w:rFonts w:hint="default" w:ascii="Times New Roman" w:hAnsi="Times New Roman" w:eastAsia="宋体" w:cs="Times New Roman"/>
          <w:color w:val="auto"/>
          <w:kern w:val="0"/>
          <w:sz w:val="24"/>
          <w:szCs w:val="24"/>
          <w:lang w:bidi="ar"/>
        </w:rPr>
        <w:t>对网络虚拟财产继承制度的构建进行了系统的思考</w:t>
      </w:r>
      <w:r>
        <w:rPr>
          <w:rFonts w:hint="default" w:ascii="Times New Roman" w:hAnsi="Times New Roman" w:eastAsia="宋体" w:cs="Times New Roman"/>
          <w:color w:val="auto"/>
          <w:kern w:val="0"/>
          <w:sz w:val="24"/>
          <w:szCs w:val="24"/>
          <w:vertAlign w:val="superscript"/>
          <w:lang w:bidi="ar"/>
        </w:rPr>
        <w:fldChar w:fldCharType="begin"/>
      </w:r>
      <w:r>
        <w:rPr>
          <w:rFonts w:hint="default" w:ascii="Times New Roman" w:hAnsi="Times New Roman" w:eastAsia="宋体" w:cs="Times New Roman"/>
          <w:color w:val="auto"/>
          <w:kern w:val="0"/>
          <w:sz w:val="24"/>
          <w:szCs w:val="24"/>
          <w:vertAlign w:val="superscript"/>
          <w:lang w:bidi="ar"/>
        </w:rPr>
        <w:instrText xml:space="preserve"> REF _Ref15365 \r \h </w:instrText>
      </w:r>
      <w:r>
        <w:rPr>
          <w:rFonts w:hint="default" w:ascii="Times New Roman" w:hAnsi="Times New Roman" w:eastAsia="宋体" w:cs="Times New Roman"/>
          <w:color w:val="auto"/>
          <w:kern w:val="0"/>
          <w:sz w:val="24"/>
          <w:szCs w:val="24"/>
          <w:vertAlign w:val="superscript"/>
          <w:lang w:bidi="ar"/>
        </w:rPr>
        <w:fldChar w:fldCharType="separate"/>
      </w:r>
      <w:r>
        <w:rPr>
          <w:rFonts w:hint="default" w:ascii="Times New Roman" w:hAnsi="Times New Roman" w:eastAsia="宋体" w:cs="Times New Roman"/>
          <w:color w:val="auto"/>
          <w:kern w:val="0"/>
          <w:sz w:val="24"/>
          <w:szCs w:val="24"/>
          <w:vertAlign w:val="superscript"/>
          <w:lang w:bidi="ar"/>
        </w:rPr>
        <w:t>[</w:t>
      </w:r>
      <w:r>
        <w:rPr>
          <w:rFonts w:hint="eastAsia" w:ascii="Times New Roman" w:hAnsi="Times New Roman" w:eastAsia="宋体" w:cs="Times New Roman"/>
          <w:color w:val="auto"/>
          <w:kern w:val="0"/>
          <w:sz w:val="24"/>
          <w:szCs w:val="24"/>
          <w:vertAlign w:val="superscript"/>
          <w:lang w:val="en-US" w:eastAsia="zh-CN" w:bidi="ar"/>
        </w:rPr>
        <w:t>8</w:t>
      </w:r>
      <w:r>
        <w:rPr>
          <w:rFonts w:hint="default" w:ascii="Times New Roman" w:hAnsi="Times New Roman" w:eastAsia="宋体" w:cs="Times New Roman"/>
          <w:color w:val="auto"/>
          <w:kern w:val="0"/>
          <w:sz w:val="24"/>
          <w:szCs w:val="24"/>
          <w:vertAlign w:val="superscript"/>
          <w:lang w:bidi="ar"/>
        </w:rPr>
        <w:t>]</w:t>
      </w:r>
      <w:r>
        <w:rPr>
          <w:rFonts w:hint="default" w:ascii="Times New Roman" w:hAnsi="Times New Roman" w:eastAsia="宋体" w:cs="Times New Roman"/>
          <w:color w:val="auto"/>
          <w:kern w:val="0"/>
          <w:sz w:val="24"/>
          <w:szCs w:val="24"/>
          <w:vertAlign w:val="superscript"/>
          <w:lang w:bidi="ar"/>
        </w:rPr>
        <w:fldChar w:fldCharType="end"/>
      </w:r>
      <w:r>
        <w:rPr>
          <w:rFonts w:hint="default" w:ascii="Times New Roman" w:hAnsi="Times New Roman" w:eastAsia="宋体" w:cs="Times New Roman"/>
          <w:color w:val="auto"/>
          <w:kern w:val="0"/>
          <w:sz w:val="24"/>
          <w:szCs w:val="24"/>
          <w:lang w:bidi="ar"/>
        </w:rPr>
        <w:t>。</w:t>
      </w:r>
      <w:r>
        <w:rPr>
          <w:rFonts w:hint="default" w:ascii="Times New Roman" w:hAnsi="Times New Roman" w:eastAsia="宋体" w:cs="Times New Roman"/>
          <w:sz w:val="24"/>
          <w:szCs w:val="24"/>
        </w:rPr>
        <w:t>Dumchikov M</w:t>
      </w:r>
      <w:r>
        <w:rPr>
          <w:rFonts w:hint="eastAsia" w:ascii="Times New Roman" w:hAnsi="Times New Roman" w:eastAsia="宋体" w:cs="Times New Roman"/>
          <w:sz w:val="24"/>
          <w:szCs w:val="24"/>
          <w:lang w:val="en-US" w:eastAsia="zh-CN"/>
        </w:rPr>
        <w:t>等（2025）</w:t>
      </w:r>
      <w:r>
        <w:rPr>
          <w:rFonts w:hint="default" w:ascii="Times New Roman" w:hAnsi="Times New Roman" w:eastAsia="宋体" w:cs="Times New Roman"/>
          <w:color w:val="auto"/>
          <w:kern w:val="0"/>
          <w:sz w:val="24"/>
          <w:szCs w:val="24"/>
          <w:lang w:bidi="ar"/>
        </w:rPr>
        <w:t>该特别关注了网络虚拟财产与隐私权之间的复杂关系，旨在为建立科学合理的网络虚拟财产法律体系提供理论支撑</w:t>
      </w:r>
      <w:r>
        <w:rPr>
          <w:rFonts w:hint="default" w:ascii="Times New Roman" w:hAnsi="Times New Roman" w:eastAsia="宋体" w:cs="Times New Roman"/>
          <w:color w:val="auto"/>
          <w:kern w:val="0"/>
          <w:sz w:val="24"/>
          <w:szCs w:val="24"/>
          <w:vertAlign w:val="superscript"/>
          <w:lang w:bidi="ar"/>
        </w:rPr>
        <w:fldChar w:fldCharType="begin"/>
      </w:r>
      <w:r>
        <w:rPr>
          <w:rFonts w:hint="default" w:ascii="Times New Roman" w:hAnsi="Times New Roman" w:eastAsia="宋体" w:cs="Times New Roman"/>
          <w:color w:val="auto"/>
          <w:kern w:val="0"/>
          <w:sz w:val="24"/>
          <w:szCs w:val="24"/>
          <w:vertAlign w:val="superscript"/>
          <w:lang w:bidi="ar"/>
        </w:rPr>
        <w:instrText xml:space="preserve"> REF _Ref15365 \r \h </w:instrText>
      </w:r>
      <w:r>
        <w:rPr>
          <w:rFonts w:hint="default" w:ascii="Times New Roman" w:hAnsi="Times New Roman" w:eastAsia="宋体" w:cs="Times New Roman"/>
          <w:color w:val="auto"/>
          <w:kern w:val="0"/>
          <w:sz w:val="24"/>
          <w:szCs w:val="24"/>
          <w:vertAlign w:val="superscript"/>
          <w:lang w:bidi="ar"/>
        </w:rPr>
        <w:fldChar w:fldCharType="separate"/>
      </w:r>
      <w:r>
        <w:rPr>
          <w:rFonts w:hint="default" w:ascii="Times New Roman" w:hAnsi="Times New Roman" w:eastAsia="宋体" w:cs="Times New Roman"/>
          <w:color w:val="auto"/>
          <w:kern w:val="0"/>
          <w:sz w:val="24"/>
          <w:szCs w:val="24"/>
          <w:vertAlign w:val="superscript"/>
          <w:lang w:bidi="ar"/>
        </w:rPr>
        <w:t>[</w:t>
      </w:r>
      <w:r>
        <w:rPr>
          <w:rFonts w:hint="eastAsia" w:ascii="Times New Roman" w:hAnsi="Times New Roman" w:eastAsia="宋体" w:cs="Times New Roman"/>
          <w:color w:val="auto"/>
          <w:kern w:val="0"/>
          <w:sz w:val="24"/>
          <w:szCs w:val="24"/>
          <w:vertAlign w:val="superscript"/>
          <w:lang w:val="en-US" w:eastAsia="zh-CN" w:bidi="ar"/>
        </w:rPr>
        <w:t>9</w:t>
      </w:r>
      <w:r>
        <w:rPr>
          <w:rFonts w:hint="default" w:ascii="Times New Roman" w:hAnsi="Times New Roman" w:eastAsia="宋体" w:cs="Times New Roman"/>
          <w:color w:val="auto"/>
          <w:kern w:val="0"/>
          <w:sz w:val="24"/>
          <w:szCs w:val="24"/>
          <w:vertAlign w:val="superscript"/>
          <w:lang w:bidi="ar"/>
        </w:rPr>
        <w:t>]</w:t>
      </w:r>
      <w:r>
        <w:rPr>
          <w:rFonts w:hint="default" w:ascii="Times New Roman" w:hAnsi="Times New Roman" w:eastAsia="宋体" w:cs="Times New Roman"/>
          <w:color w:val="auto"/>
          <w:kern w:val="0"/>
          <w:sz w:val="24"/>
          <w:szCs w:val="24"/>
          <w:vertAlign w:val="superscript"/>
          <w:lang w:bidi="ar"/>
        </w:rPr>
        <w:fldChar w:fldCharType="end"/>
      </w:r>
      <w:r>
        <w:rPr>
          <w:rFonts w:hint="default" w:ascii="Times New Roman" w:hAnsi="Times New Roman" w:eastAsia="宋体" w:cs="Times New Roman"/>
          <w:color w:val="auto"/>
          <w:kern w:val="0"/>
          <w:sz w:val="24"/>
          <w:szCs w:val="24"/>
          <w:lang w:bidi="ar"/>
        </w:rPr>
        <w:t>。</w:t>
      </w:r>
    </w:p>
    <w:p w14:paraId="1FE77579">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从立法实践来看，各国基于自身国情形成了不同的规制路径，学界对网络虚拟财产继承的可行性及制度设计等方面，进行了深入的研究及讨论，但尚未形成完整的研究体系。</w:t>
      </w:r>
    </w:p>
    <w:p w14:paraId="776813CC">
      <w:pPr>
        <w:pStyle w:val="4"/>
        <w:bidi w:val="0"/>
        <w:rPr>
          <w:rFonts w:hint="default"/>
        </w:rPr>
      </w:pPr>
      <w:bookmarkStart w:id="75" w:name="_Toc4108"/>
      <w:bookmarkStart w:id="76" w:name="_Toc12701"/>
      <w:r>
        <w:rPr>
          <w:rFonts w:hint="default"/>
        </w:rPr>
        <w:t>1.3.2 国内研究现状</w:t>
      </w:r>
      <w:bookmarkEnd w:id="75"/>
      <w:bookmarkEnd w:id="76"/>
    </w:p>
    <w:p w14:paraId="2750F085">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我国学界对网络虚拟财产的研究一直争论不断，各界学者从不同维度对这个新兴领域进行深入探讨，研究成果主要聚焦于以下几个方面：</w:t>
      </w:r>
    </w:p>
    <w:p w14:paraId="30433519">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一是关于网络虚拟财产法律性质的研究。杨立新教授和王中合教授从物权法的视角出发指出网络虚拟财产突破了传统物权定义下</w:t>
      </w:r>
      <w:r>
        <w:rPr>
          <w:rFonts w:hint="eastAsia" w:ascii="Times New Roman" w:hAnsi="Times New Roman" w:eastAsia="宋体" w:cs="Times New Roman"/>
          <w:color w:val="auto"/>
          <w:kern w:val="0"/>
          <w:sz w:val="24"/>
          <w:szCs w:val="24"/>
          <w:lang w:eastAsia="zh-CN" w:bidi="ar"/>
        </w:rPr>
        <w:t>“物”</w:t>
      </w:r>
      <w:r>
        <w:rPr>
          <w:rFonts w:hint="default" w:ascii="Times New Roman" w:hAnsi="Times New Roman" w:eastAsia="宋体" w:cs="Times New Roman"/>
          <w:color w:val="auto"/>
          <w:kern w:val="0"/>
          <w:sz w:val="24"/>
          <w:szCs w:val="24"/>
          <w:lang w:bidi="ar"/>
        </w:rPr>
        <w:t>的有形或实体形态。然而，在特定法律事实发生后，这种债权性质能够转化为物权性质。戴昱教授结合了了物权、债权以及知识产权的特征，将其定义为一种独立的新型财产权。这一分类能够厘清网络虚拟财产的法律定位，同时也凸显了其在现代社会中的特殊价值和意义刘智慧教授则超越传统分类框架，直指虚拟财产的本质财产属性，并认可了其在法律上的价值和意义，为立法实践提供了多元参考。</w:t>
      </w:r>
    </w:p>
    <w:p w14:paraId="3AE35F98">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二是关于网络虚拟财产权利归属的问题研究。</w:t>
      </w:r>
      <w:r>
        <w:rPr>
          <w:rFonts w:hint="default" w:ascii="Times New Roman" w:hAnsi="Times New Roman" w:eastAsia="宋体" w:cs="Times New Roman"/>
          <w:sz w:val="24"/>
          <w:szCs w:val="24"/>
        </w:rPr>
        <w:t>郭佳瑶</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2020）</w:t>
      </w:r>
      <w:r>
        <w:rPr>
          <w:rFonts w:hint="default" w:ascii="Times New Roman" w:hAnsi="Times New Roman" w:eastAsia="宋体" w:cs="Times New Roman"/>
          <w:color w:val="auto"/>
          <w:kern w:val="0"/>
          <w:sz w:val="24"/>
          <w:szCs w:val="24"/>
          <w:lang w:bidi="ar"/>
        </w:rPr>
        <w:t>指出，网络虚拟财产的权利关系涉及运营商和用户两方主体</w:t>
      </w:r>
      <w:r>
        <w:rPr>
          <w:rFonts w:hint="eastAsia" w:ascii="Times New Roman" w:hAnsi="Times New Roman" w:eastAsia="宋体" w:cs="Times New Roman"/>
          <w:color w:val="auto"/>
          <w:kern w:val="0"/>
          <w:sz w:val="24"/>
          <w:szCs w:val="24"/>
          <w:lang w:eastAsia="zh-CN" w:bidi="ar"/>
        </w:rPr>
        <w:t>，</w:t>
      </w:r>
      <w:r>
        <w:rPr>
          <w:rFonts w:hint="default" w:ascii="Times New Roman" w:hAnsi="Times New Roman" w:eastAsia="宋体" w:cs="Times New Roman"/>
          <w:color w:val="auto"/>
          <w:kern w:val="0"/>
          <w:sz w:val="24"/>
          <w:szCs w:val="24"/>
          <w:lang w:bidi="ar"/>
        </w:rPr>
        <w:t>网络运营商虽然对其平台有更享有的主动权，但用户可以通过网络行为最终决定其所拥有的网络虚拟财产的种类、数量及价值，这表明网络虚拟财产的所有权是由用户的行为和选择来决定的</w:t>
      </w:r>
      <w:r>
        <w:rPr>
          <w:rFonts w:hint="default" w:ascii="Times New Roman" w:hAnsi="Times New Roman" w:eastAsia="宋体" w:cs="Times New Roman"/>
          <w:color w:val="auto"/>
          <w:kern w:val="0"/>
          <w:sz w:val="24"/>
          <w:szCs w:val="24"/>
          <w:vertAlign w:val="superscript"/>
          <w:lang w:bidi="ar"/>
        </w:rPr>
        <w:fldChar w:fldCharType="begin"/>
      </w:r>
      <w:r>
        <w:rPr>
          <w:rFonts w:hint="default" w:ascii="Times New Roman" w:hAnsi="Times New Roman" w:eastAsia="宋体" w:cs="Times New Roman"/>
          <w:color w:val="auto"/>
          <w:kern w:val="0"/>
          <w:sz w:val="24"/>
          <w:szCs w:val="24"/>
          <w:vertAlign w:val="superscript"/>
          <w:lang w:bidi="ar"/>
        </w:rPr>
        <w:instrText xml:space="preserve"> REF _Ref15861 \r \h </w:instrText>
      </w:r>
      <w:r>
        <w:rPr>
          <w:rFonts w:hint="default" w:ascii="Times New Roman" w:hAnsi="Times New Roman" w:eastAsia="宋体" w:cs="Times New Roman"/>
          <w:color w:val="auto"/>
          <w:kern w:val="0"/>
          <w:sz w:val="24"/>
          <w:szCs w:val="24"/>
          <w:vertAlign w:val="superscript"/>
          <w:lang w:bidi="ar"/>
        </w:rPr>
        <w:fldChar w:fldCharType="separate"/>
      </w:r>
      <w:r>
        <w:rPr>
          <w:rFonts w:hint="default" w:ascii="Times New Roman" w:hAnsi="Times New Roman" w:eastAsia="宋体" w:cs="Times New Roman"/>
          <w:color w:val="auto"/>
          <w:kern w:val="0"/>
          <w:sz w:val="24"/>
          <w:szCs w:val="24"/>
          <w:vertAlign w:val="superscript"/>
          <w:lang w:bidi="ar"/>
        </w:rPr>
        <w:t>[</w:t>
      </w:r>
      <w:r>
        <w:rPr>
          <w:rFonts w:hint="eastAsia" w:ascii="Times New Roman" w:hAnsi="Times New Roman" w:eastAsia="宋体" w:cs="Times New Roman"/>
          <w:color w:val="auto"/>
          <w:kern w:val="0"/>
          <w:sz w:val="24"/>
          <w:szCs w:val="24"/>
          <w:vertAlign w:val="superscript"/>
          <w:lang w:val="en-US" w:eastAsia="zh-CN" w:bidi="ar"/>
        </w:rPr>
        <w:t>10</w:t>
      </w:r>
      <w:r>
        <w:rPr>
          <w:rFonts w:hint="default" w:ascii="Times New Roman" w:hAnsi="Times New Roman" w:eastAsia="宋体" w:cs="Times New Roman"/>
          <w:color w:val="auto"/>
          <w:kern w:val="0"/>
          <w:sz w:val="24"/>
          <w:szCs w:val="24"/>
          <w:vertAlign w:val="superscript"/>
          <w:lang w:bidi="ar"/>
        </w:rPr>
        <w:t>]</w:t>
      </w:r>
      <w:r>
        <w:rPr>
          <w:rFonts w:hint="default" w:ascii="Times New Roman" w:hAnsi="Times New Roman" w:eastAsia="宋体" w:cs="Times New Roman"/>
          <w:color w:val="auto"/>
          <w:kern w:val="0"/>
          <w:sz w:val="24"/>
          <w:szCs w:val="24"/>
          <w:vertAlign w:val="superscript"/>
          <w:lang w:bidi="ar"/>
        </w:rPr>
        <w:fldChar w:fldCharType="end"/>
      </w:r>
      <w:r>
        <w:rPr>
          <w:rFonts w:hint="default" w:ascii="Times New Roman" w:hAnsi="Times New Roman" w:eastAsia="宋体" w:cs="Times New Roman"/>
          <w:color w:val="auto"/>
          <w:kern w:val="0"/>
          <w:sz w:val="24"/>
          <w:szCs w:val="24"/>
          <w:lang w:bidi="ar"/>
        </w:rPr>
        <w:t>。</w:t>
      </w:r>
    </w:p>
    <w:p w14:paraId="0E2CC119">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三是关于网络虚拟财产类型的研究，</w:t>
      </w:r>
      <w:r>
        <w:rPr>
          <w:rFonts w:hint="default" w:ascii="Times New Roman" w:hAnsi="Times New Roman" w:eastAsia="宋体" w:cs="Times New Roman"/>
          <w:sz w:val="24"/>
          <w:szCs w:val="24"/>
        </w:rPr>
        <w:t>李谨旭</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2020）</w:t>
      </w:r>
      <w:r>
        <w:rPr>
          <w:rFonts w:hint="default" w:ascii="Times New Roman" w:hAnsi="Times New Roman" w:eastAsia="宋体" w:cs="Times New Roman"/>
          <w:color w:val="auto"/>
          <w:kern w:val="0"/>
          <w:sz w:val="24"/>
          <w:szCs w:val="24"/>
          <w:lang w:bidi="ar"/>
        </w:rPr>
        <w:t>对网络虚拟财产进行了分类，归纳为三个主要类型：首先是个人在网络空间拥有的账户信息，包括社交媒体账户、域名以及游戏账号等；第二类是涉及资金交易的虚拟货币，这涵盖了游戏内的装备和角色，以及由网络运营商发行的货币；第三类是自然人在网络上创作的与知识产权相关的内容，例如微博上的帖子、图片和音视频等。虽然划分的具体标准各有侧重，但都试图通过系统分类来把握虚拟财产的多样性特征</w:t>
      </w:r>
      <w:r>
        <w:rPr>
          <w:rFonts w:hint="default" w:ascii="Times New Roman" w:hAnsi="Times New Roman" w:eastAsia="宋体" w:cs="Times New Roman"/>
          <w:color w:val="auto"/>
          <w:kern w:val="0"/>
          <w:sz w:val="24"/>
          <w:szCs w:val="24"/>
          <w:vertAlign w:val="superscript"/>
          <w:lang w:bidi="ar"/>
        </w:rPr>
        <w:fldChar w:fldCharType="begin"/>
      </w:r>
      <w:r>
        <w:rPr>
          <w:rFonts w:hint="default" w:ascii="Times New Roman" w:hAnsi="Times New Roman" w:eastAsia="宋体" w:cs="Times New Roman"/>
          <w:color w:val="auto"/>
          <w:kern w:val="0"/>
          <w:sz w:val="24"/>
          <w:szCs w:val="24"/>
          <w:vertAlign w:val="superscript"/>
          <w:lang w:bidi="ar"/>
        </w:rPr>
        <w:instrText xml:space="preserve"> REF _Ref15861 \r \h </w:instrText>
      </w:r>
      <w:r>
        <w:rPr>
          <w:rFonts w:hint="default" w:ascii="Times New Roman" w:hAnsi="Times New Roman" w:eastAsia="宋体" w:cs="Times New Roman"/>
          <w:color w:val="auto"/>
          <w:kern w:val="0"/>
          <w:sz w:val="24"/>
          <w:szCs w:val="24"/>
          <w:vertAlign w:val="superscript"/>
          <w:lang w:bidi="ar"/>
        </w:rPr>
        <w:fldChar w:fldCharType="separate"/>
      </w:r>
      <w:r>
        <w:rPr>
          <w:rFonts w:hint="default" w:ascii="Times New Roman" w:hAnsi="Times New Roman" w:eastAsia="宋体" w:cs="Times New Roman"/>
          <w:color w:val="auto"/>
          <w:kern w:val="0"/>
          <w:sz w:val="24"/>
          <w:szCs w:val="24"/>
          <w:vertAlign w:val="superscript"/>
          <w:lang w:bidi="ar"/>
        </w:rPr>
        <w:t>[</w:t>
      </w:r>
      <w:r>
        <w:rPr>
          <w:rFonts w:hint="eastAsia" w:ascii="Times New Roman" w:hAnsi="Times New Roman" w:eastAsia="宋体" w:cs="Times New Roman"/>
          <w:color w:val="auto"/>
          <w:kern w:val="0"/>
          <w:sz w:val="24"/>
          <w:szCs w:val="24"/>
          <w:vertAlign w:val="superscript"/>
          <w:lang w:val="en-US" w:eastAsia="zh-CN" w:bidi="ar"/>
        </w:rPr>
        <w:t>11</w:t>
      </w:r>
      <w:r>
        <w:rPr>
          <w:rFonts w:hint="default" w:ascii="Times New Roman" w:hAnsi="Times New Roman" w:eastAsia="宋体" w:cs="Times New Roman"/>
          <w:color w:val="auto"/>
          <w:kern w:val="0"/>
          <w:sz w:val="24"/>
          <w:szCs w:val="24"/>
          <w:vertAlign w:val="superscript"/>
          <w:lang w:bidi="ar"/>
        </w:rPr>
        <w:t>]</w:t>
      </w:r>
      <w:r>
        <w:rPr>
          <w:rFonts w:hint="default" w:ascii="Times New Roman" w:hAnsi="Times New Roman" w:eastAsia="宋体" w:cs="Times New Roman"/>
          <w:color w:val="auto"/>
          <w:kern w:val="0"/>
          <w:sz w:val="24"/>
          <w:szCs w:val="24"/>
          <w:vertAlign w:val="superscript"/>
          <w:lang w:bidi="ar"/>
        </w:rPr>
        <w:fldChar w:fldCharType="end"/>
      </w:r>
      <w:r>
        <w:rPr>
          <w:rFonts w:hint="default" w:ascii="Times New Roman" w:hAnsi="Times New Roman" w:eastAsia="宋体" w:cs="Times New Roman"/>
          <w:color w:val="auto"/>
          <w:kern w:val="0"/>
          <w:sz w:val="24"/>
          <w:szCs w:val="24"/>
          <w:lang w:bidi="ar"/>
        </w:rPr>
        <w:t>。</w:t>
      </w:r>
    </w:p>
    <w:p w14:paraId="2C5EDAE1">
      <w:pPr>
        <w:pStyle w:val="4"/>
        <w:bidi w:val="0"/>
        <w:rPr>
          <w:rFonts w:hint="default"/>
        </w:rPr>
      </w:pPr>
      <w:bookmarkStart w:id="77" w:name="_Toc4863"/>
      <w:bookmarkStart w:id="78" w:name="_Toc16858"/>
      <w:r>
        <w:rPr>
          <w:rFonts w:hint="default"/>
        </w:rPr>
        <w:t>1.3.3</w:t>
      </w:r>
      <w:bookmarkStart w:id="79" w:name="_Toc174361290"/>
      <w:r>
        <w:rPr>
          <w:rFonts w:hint="default"/>
        </w:rPr>
        <w:t xml:space="preserve"> 文献评述</w:t>
      </w:r>
      <w:bookmarkEnd w:id="77"/>
      <w:bookmarkEnd w:id="78"/>
      <w:bookmarkEnd w:id="79"/>
    </w:p>
    <w:p w14:paraId="6D7832DB">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通过对国内外网络虚拟财产法律规制研究的梳理，可以发现学者们围绕虚拟财产的法律性质、权利归属、类型划分及继承制度等问题展开了多角度的探讨，研究成果既体现了学术共识，也反映了理论分歧。</w:t>
      </w:r>
    </w:p>
    <w:p w14:paraId="03C8F358">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国外研究主要聚焦于虚拟财产继承的必要性、可行性及制度设计，形成了较为丰富的理论观点。学者们从遗产规划、隐私权保护等角度分析了虚拟财产继承的现实障碍，并提出了遗嘱设立、专门立法等解决方案。然而，这些研究尚未形成完整的理论体系，且因各国法律传统和互联网经济发展水平的差异，其结论对我国实践的参考价值存在一定局限性。</w:t>
      </w:r>
    </w:p>
    <w:p w14:paraId="754C3C8F">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国内研究则更多关注虚拟财产的法律定性及权利归属问题。学者们从不同视角探讨了虚拟财产的法律性质，并对其分类及用户权益保护提出了多样化见解。尽管研究视角多元，但在虚拟财产的具体法律适用及继承制度构建方面仍存在理论空白，尤其是如何平衡运营商利益与用户权利、如何设计符合我国国情的继承规则等问题亟待深入探讨。</w:t>
      </w:r>
    </w:p>
    <w:p w14:paraId="7FDCCD05">
      <w:pPr>
        <w:pStyle w:val="3"/>
        <w:bidi w:val="0"/>
        <w:rPr>
          <w:rFonts w:hint="default"/>
        </w:rPr>
      </w:pPr>
      <w:bookmarkStart w:id="80" w:name="_Toc1412"/>
      <w:bookmarkStart w:id="81" w:name="_Toc2623"/>
      <w:bookmarkStart w:id="82" w:name="_Toc174361291"/>
      <w:r>
        <w:rPr>
          <w:rFonts w:hint="default"/>
        </w:rPr>
        <w:t>1.4 研究内容及方法</w:t>
      </w:r>
      <w:bookmarkEnd w:id="80"/>
      <w:bookmarkEnd w:id="81"/>
      <w:bookmarkEnd w:id="82"/>
    </w:p>
    <w:p w14:paraId="2C5D02FC">
      <w:pPr>
        <w:pStyle w:val="4"/>
        <w:bidi w:val="0"/>
        <w:rPr>
          <w:rFonts w:hint="default"/>
        </w:rPr>
      </w:pPr>
      <w:bookmarkStart w:id="83" w:name="_Toc174361292"/>
      <w:bookmarkStart w:id="84" w:name="_Toc22499"/>
      <w:bookmarkStart w:id="85" w:name="_Toc1818"/>
      <w:r>
        <w:rPr>
          <w:rFonts w:hint="default"/>
        </w:rPr>
        <w:t>1.4.1 研究内容</w:t>
      </w:r>
      <w:bookmarkEnd w:id="83"/>
      <w:bookmarkEnd w:id="84"/>
      <w:bookmarkEnd w:id="85"/>
    </w:p>
    <w:p w14:paraId="38067934">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本文主要从五个方面展开对网络虚拟财产继承问题的法律规制研究。</w:t>
      </w:r>
    </w:p>
    <w:p w14:paraId="312F5F76">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第1章绪论介绍了研究的背景、目的及意义，随着互联网经济的发展，虚拟财产的重要性与日俱增，但对于虚拟财产的法律属性和继承规则还不十分明确，导致司法实践上出现很多争议。</w:t>
      </w:r>
    </w:p>
    <w:p w14:paraId="40A048DD">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第2章虚拟财产的概述，系统的探讨了虚拟财产的财产属性、定义及法律性质。首先分析了虚拟财产的价值性、稀缺性和流通性，指出其符合民法意义上的财产特征，其次比较了广义说与狭义说对虚拟财产的定义，最后围绕物权说、债权说、知识产权说和新型权利说展开争议，指出虚拟财产具有物权属性，应纳入物权保护体系，为虚拟财产的法律定位提供了理论依据。</w:t>
      </w:r>
    </w:p>
    <w:p w14:paraId="7AC6D60B">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第3章网络虚拟财产继承的域外经验，通过比较分析美国、德国和英国的立法实践与司法经验，总结了域外虚拟财产继承制度。</w:t>
      </w:r>
    </w:p>
    <w:p w14:paraId="7D04EA50">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第4章虚拟财产保护中存在的问题，深入剖析了我国虚拟财产保护面临的困境，包括法律定位属性不明、归属认定标准模糊、价值评估机制缺失以及举证责任分配不合理等问题。这些问题导致司法实践中裁判尺度不一，用户权益保障不足。</w:t>
      </w:r>
    </w:p>
    <w:p w14:paraId="1D5AE7EB">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第5章对我国实践中虚拟财产继承的完善在前文分析的基础上，提出了系统化的完善建议：一是明确虚拟财产的物权属性，</w:t>
      </w:r>
      <w:r>
        <w:rPr>
          <w:rFonts w:hint="default" w:ascii="Times New Roman" w:hAnsi="Times New Roman" w:eastAsia="宋体" w:cs="Times New Roman"/>
          <w:color w:val="auto"/>
          <w:kern w:val="0"/>
          <w:sz w:val="24"/>
          <w:szCs w:val="24"/>
          <w:lang w:val="en-US" w:eastAsia="zh-CN" w:bidi="ar"/>
        </w:rPr>
        <w:t>二是完善权属认定规则，三</w:t>
      </w:r>
      <w:r>
        <w:rPr>
          <w:rFonts w:hint="default" w:ascii="Times New Roman" w:hAnsi="Times New Roman" w:eastAsia="宋体" w:cs="Times New Roman"/>
          <w:color w:val="auto"/>
          <w:kern w:val="0"/>
          <w:sz w:val="24"/>
          <w:szCs w:val="24"/>
          <w:lang w:bidi="ar"/>
        </w:rPr>
        <w:t>是完善价值评估机制，</w:t>
      </w:r>
      <w:r>
        <w:rPr>
          <w:rFonts w:hint="default" w:ascii="Times New Roman" w:hAnsi="Times New Roman" w:eastAsia="宋体" w:cs="Times New Roman"/>
          <w:color w:val="auto"/>
          <w:kern w:val="0"/>
          <w:sz w:val="24"/>
          <w:szCs w:val="24"/>
          <w:lang w:val="en-US" w:eastAsia="zh-CN" w:bidi="ar"/>
        </w:rPr>
        <w:t>四</w:t>
      </w:r>
      <w:r>
        <w:rPr>
          <w:rFonts w:hint="default" w:ascii="Times New Roman" w:hAnsi="Times New Roman" w:eastAsia="宋体" w:cs="Times New Roman"/>
          <w:color w:val="auto"/>
          <w:kern w:val="0"/>
          <w:sz w:val="24"/>
          <w:szCs w:val="24"/>
          <w:lang w:bidi="ar"/>
        </w:rPr>
        <w:t>是优化举证责任分配。</w:t>
      </w:r>
    </w:p>
    <w:p w14:paraId="0D301E0B">
      <w:pPr>
        <w:pStyle w:val="4"/>
        <w:bidi w:val="0"/>
        <w:rPr>
          <w:rFonts w:hint="default"/>
        </w:rPr>
      </w:pPr>
      <w:bookmarkStart w:id="86" w:name="_Toc24458"/>
      <w:bookmarkStart w:id="87" w:name="_Toc31162"/>
      <w:r>
        <w:rPr>
          <w:rFonts w:hint="default"/>
        </w:rPr>
        <w:t>1.4.2 研究方法</w:t>
      </w:r>
      <w:bookmarkEnd w:id="86"/>
      <w:bookmarkEnd w:id="87"/>
    </w:p>
    <w:p w14:paraId="107A7483">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本文采用多元研究方法对网络虚拟财产继承问题展开系统性研究。通过文献研究法，系统梳理了国内外关于虚拟财产法律属性的理论争议和立法实践，重点分析了《民法典》及相关司法解释对虚拟财产的规定，同时考察了美国、德国等国家的经验。在理论探讨部分，运用概念分析法对虚拟财产的财产属性、法律性质等核心概念进行界定，通过比较分析法对物权说、债权说、知识产权说和新型权利说等理论观点进行分析。在实践研究层面，采用案例分析法对典型司法判例进行剖析，揭示当前虚拟财产继承纠纷中的裁判分歧和司法困境。</w:t>
      </w:r>
    </w:p>
    <w:p w14:paraId="15E3FF0C">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sectPr>
          <w:headerReference r:id="rId11" w:type="default"/>
          <w:footerReference r:id="rId12" w:type="default"/>
          <w:footerReference r:id="rId13" w:type="even"/>
          <w:footnotePr>
            <w:numFmt w:val="decimalEnclosedCircleChinese"/>
            <w:numRestart w:val="eachPage"/>
          </w:footnotePr>
          <w:pgSz w:w="11905" w:h="16838"/>
          <w:pgMar w:top="1587" w:right="1417" w:bottom="1587" w:left="1417" w:header="1134" w:footer="1134" w:gutter="0"/>
          <w:pgBorders>
            <w:top w:val="none" w:sz="0" w:space="0"/>
            <w:left w:val="none" w:sz="0" w:space="0"/>
            <w:bottom w:val="none" w:sz="0" w:space="0"/>
            <w:right w:val="none" w:sz="0" w:space="0"/>
          </w:pgBorders>
          <w:pgNumType w:fmt="decimal" w:start="1"/>
          <w:cols w:space="0" w:num="1"/>
          <w:rtlGutter w:val="0"/>
          <w:docGrid w:linePitch="312" w:charSpace="0"/>
        </w:sectPr>
      </w:pPr>
    </w:p>
    <w:p w14:paraId="4AC59CAA">
      <w:pPr>
        <w:pStyle w:val="2"/>
        <w:bidi w:val="0"/>
        <w:rPr>
          <w:rFonts w:hint="default"/>
        </w:rPr>
      </w:pPr>
      <w:bookmarkStart w:id="88" w:name="_Toc13775"/>
      <w:bookmarkStart w:id="89" w:name="_Toc17693"/>
      <w:r>
        <w:rPr>
          <w:rFonts w:hint="default"/>
        </w:rPr>
        <w:t>第2章 网络虚拟财产的概述</w:t>
      </w:r>
      <w:bookmarkEnd w:id="88"/>
      <w:bookmarkEnd w:id="89"/>
    </w:p>
    <w:p w14:paraId="1BEA00CC">
      <w:pPr>
        <w:pStyle w:val="3"/>
        <w:bidi w:val="0"/>
        <w:rPr>
          <w:rFonts w:hint="default"/>
        </w:rPr>
      </w:pPr>
      <w:bookmarkStart w:id="90" w:name="_Toc28341"/>
      <w:bookmarkStart w:id="91" w:name="_Toc7339"/>
      <w:r>
        <w:rPr>
          <w:rFonts w:hint="default"/>
        </w:rPr>
        <w:t>2.1 网络虚拟财产的定义</w:t>
      </w:r>
      <w:bookmarkEnd w:id="90"/>
      <w:bookmarkEnd w:id="91"/>
    </w:p>
    <w:p w14:paraId="2B9635D5">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科学技术与互联网的演进催生了计算机科学领域的</w:t>
      </w:r>
      <w:r>
        <w:rPr>
          <w:rFonts w:hint="eastAsia" w:ascii="Times New Roman" w:hAnsi="Times New Roman" w:eastAsia="宋体" w:cs="Times New Roman"/>
          <w:color w:val="auto"/>
          <w:sz w:val="24"/>
          <w:szCs w:val="24"/>
          <w:lang w:eastAsia="zh-CN"/>
        </w:rPr>
        <w:t>“虚拟对象”</w:t>
      </w:r>
      <w:r>
        <w:rPr>
          <w:rFonts w:hint="default" w:ascii="Times New Roman" w:hAnsi="Times New Roman" w:eastAsia="宋体" w:cs="Times New Roman"/>
          <w:color w:val="auto"/>
          <w:sz w:val="24"/>
          <w:szCs w:val="24"/>
        </w:rPr>
        <w:t>的存在，这些以数据为本质的对象依托网络载体形成可视化形态，并发展为具有持续性的数字实体。基于用户对虚拟存在的主体性价值赋值，衍生出以现实货币兑换数字客体的交易市场。从而实现用户自身情感价值或经济价值，进而引发虚拟财产权属配置、价值认定等新型法律争议。</w:t>
      </w:r>
    </w:p>
    <w:p w14:paraId="7962B3CF">
      <w:pPr>
        <w:pStyle w:val="4"/>
        <w:bidi w:val="0"/>
        <w:rPr>
          <w:rFonts w:hint="default"/>
        </w:rPr>
      </w:pPr>
      <w:bookmarkStart w:id="92" w:name="_Toc16789"/>
      <w:bookmarkStart w:id="93" w:name="_Toc17295"/>
      <w:r>
        <w:rPr>
          <w:rFonts w:hint="default"/>
        </w:rPr>
        <w:t>2.1.1 广义说</w:t>
      </w:r>
      <w:bookmarkEnd w:id="92"/>
      <w:bookmarkEnd w:id="93"/>
    </w:p>
    <w:p w14:paraId="5B20B06E">
      <w:pPr>
        <w:pageBreakBefore w:val="0"/>
        <w:widowControl w:val="0"/>
        <w:kinsoku/>
        <w:wordWrap/>
        <w:overflowPunct/>
        <w:topLinePunct w:val="0"/>
        <w:autoSpaceDE/>
        <w:autoSpaceDN/>
        <w:bidi w:val="0"/>
        <w:spacing w:line="440" w:lineRule="atLeast"/>
        <w:ind w:firstLine="480" w:firstLineChars="200"/>
        <w:textAlignment w:val="auto"/>
        <w:rPr>
          <w:rFonts w:hint="eastAsia"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我国《民法典》中对</w:t>
      </w:r>
      <w:r>
        <w:rPr>
          <w:rFonts w:hint="eastAsia" w:ascii="Times New Roman" w:hAnsi="Times New Roman" w:eastAsia="宋体" w:cs="Times New Roman"/>
          <w:color w:val="auto"/>
          <w:sz w:val="24"/>
          <w:szCs w:val="24"/>
          <w:lang w:eastAsia="zh-CN"/>
        </w:rPr>
        <w:t>“虚拟财产”</w:t>
      </w:r>
      <w:r>
        <w:rPr>
          <w:rFonts w:hint="default" w:ascii="Times New Roman" w:hAnsi="Times New Roman" w:eastAsia="宋体" w:cs="Times New Roman"/>
          <w:color w:val="auto"/>
          <w:sz w:val="24"/>
          <w:szCs w:val="24"/>
        </w:rPr>
        <w:t>的概述十分粗略，司法解释亦未细化，法学家们对此也没有形成统一的共识。从各位专家、学者的观点来看，网络虚拟财产概念可分为广义说和狭义说两种，广义的虚拟财产的范围几乎包含了从游戏装备、电子邮件、各种通信记录等一切内容。马一德教授认为：</w:t>
      </w:r>
      <w:r>
        <w:rPr>
          <w:rFonts w:hint="eastAsia" w:ascii="Times New Roman" w:hAnsi="Times New Roman" w:eastAsia="宋体" w:cs="Times New Roman"/>
          <w:color w:val="auto"/>
          <w:sz w:val="24"/>
          <w:szCs w:val="24"/>
          <w:lang w:eastAsia="zh-CN"/>
        </w:rPr>
        <w:t>“虚拟财产更加强调其虚拟性。</w:t>
      </w:r>
      <w:r>
        <w:rPr>
          <w:rFonts w:hint="default" w:ascii="Times New Roman" w:hAnsi="Times New Roman" w:eastAsia="宋体" w:cs="Times New Roman"/>
          <w:color w:val="auto"/>
          <w:sz w:val="24"/>
          <w:szCs w:val="24"/>
        </w:rPr>
        <w:t>换而言之只要是能够以互联网的形式表现出来的，可以随时提取出来的数据资料都可以看作虚拟财产的范围，而不必特意考虑其是否具有价值属性。</w:t>
      </w:r>
      <w:r>
        <w:rPr>
          <w:rFonts w:hint="eastAsia" w:ascii="Times New Roman" w:hAnsi="Times New Roman" w:eastAsia="宋体" w:cs="Times New Roman"/>
          <w:color w:val="auto"/>
          <w:sz w:val="24"/>
          <w:szCs w:val="24"/>
          <w:lang w:eastAsia="zh-CN"/>
        </w:rPr>
        <w:t>”</w:t>
      </w:r>
    </w:p>
    <w:p w14:paraId="67BF1E92">
      <w:pPr>
        <w:pStyle w:val="4"/>
        <w:bidi w:val="0"/>
        <w:rPr>
          <w:rFonts w:hint="eastAsia"/>
          <w:lang w:eastAsia="zh-CN"/>
        </w:rPr>
      </w:pPr>
      <w:bookmarkStart w:id="94" w:name="_Toc30257"/>
      <w:r>
        <w:rPr>
          <w:rFonts w:hint="eastAsia"/>
          <w:lang w:eastAsia="zh-CN"/>
        </w:rPr>
        <w:t>2.1.2 狭义说</w:t>
      </w:r>
      <w:bookmarkEnd w:id="94"/>
    </w:p>
    <w:p w14:paraId="5EED9C8A">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lang w:eastAsia="zh-CN"/>
        </w:rPr>
        <w:t>狭义说认为：“网络虚拟财产必须具有交易价值。”</w:t>
      </w:r>
      <w:r>
        <w:rPr>
          <w:rFonts w:hint="default" w:ascii="Times New Roman" w:hAnsi="Times New Roman" w:eastAsia="宋体" w:cs="Times New Roman"/>
          <w:color w:val="auto"/>
          <w:sz w:val="24"/>
          <w:szCs w:val="24"/>
        </w:rPr>
        <w:t>持狭义观点的许可教授认为，虚拟财产是指网民在网络游戏账号中积累的装备、人物、金币等财产</w:t>
      </w:r>
      <w:r>
        <w:rPr>
          <w:rFonts w:hint="default" w:ascii="Times New Roman" w:hAnsi="Times New Roman" w:eastAsia="宋体" w:cs="Times New Roman"/>
          <w:color w:val="auto"/>
          <w:sz w:val="24"/>
          <w:szCs w:val="24"/>
          <w:vertAlign w:val="superscript"/>
        </w:rPr>
        <w:fldChar w:fldCharType="begin"/>
      </w:r>
      <w:r>
        <w:rPr>
          <w:rFonts w:hint="default" w:ascii="Times New Roman" w:hAnsi="Times New Roman" w:eastAsia="宋体" w:cs="Times New Roman"/>
          <w:color w:val="auto"/>
          <w:sz w:val="24"/>
          <w:szCs w:val="24"/>
          <w:vertAlign w:val="superscript"/>
        </w:rPr>
        <w:instrText xml:space="preserve"> REF _Ref27477 \r \h </w:instrText>
      </w:r>
      <w:r>
        <w:rPr>
          <w:rFonts w:hint="default" w:ascii="Times New Roman" w:hAnsi="Times New Roman" w:eastAsia="宋体" w:cs="Times New Roman"/>
          <w:color w:val="auto"/>
          <w:sz w:val="24"/>
          <w:szCs w:val="24"/>
          <w:vertAlign w:val="superscript"/>
        </w:rPr>
        <w:fldChar w:fldCharType="separate"/>
      </w:r>
      <w:r>
        <w:rPr>
          <w:rFonts w:hint="default" w:ascii="Times New Roman" w:hAnsi="Times New Roman" w:eastAsia="宋体" w:cs="Times New Roman"/>
          <w:color w:val="auto"/>
          <w:sz w:val="24"/>
          <w:szCs w:val="24"/>
          <w:vertAlign w:val="superscript"/>
        </w:rPr>
        <w:t>[12]</w:t>
      </w:r>
      <w:r>
        <w:rPr>
          <w:rFonts w:hint="default" w:ascii="Times New Roman" w:hAnsi="Times New Roman" w:eastAsia="宋体" w:cs="Times New Roman"/>
          <w:color w:val="auto"/>
          <w:sz w:val="24"/>
          <w:szCs w:val="24"/>
          <w:vertAlign w:val="superscript"/>
        </w:rPr>
        <w:fldChar w:fldCharType="end"/>
      </w:r>
      <w:r>
        <w:rPr>
          <w:rFonts w:hint="default" w:ascii="Times New Roman" w:hAnsi="Times New Roman" w:eastAsia="宋体" w:cs="Times New Roman"/>
          <w:color w:val="auto"/>
          <w:sz w:val="24"/>
          <w:szCs w:val="24"/>
        </w:rPr>
        <w:t>。还有部分持狭义说观点的专家认为，网络虚拟财产以网络游戏中的数据资源为核心，该财产属于玩家能自由支配的无形财产，具有使用价值和交易价值，如网络游戏中的虚拟装备、游戏货币、游戏角色及其他虚拟物品。狭义的虚拟财产范围更小，更加关注到了虚拟财产所具有的价值属性</w:t>
      </w:r>
      <w:r>
        <w:rPr>
          <w:rFonts w:hint="default" w:ascii="Times New Roman" w:hAnsi="Times New Roman" w:eastAsia="宋体" w:cs="Times New Roman"/>
          <w:color w:val="auto"/>
          <w:sz w:val="24"/>
          <w:szCs w:val="24"/>
          <w:vertAlign w:val="superscript"/>
        </w:rPr>
        <w:fldChar w:fldCharType="begin"/>
      </w:r>
      <w:r>
        <w:rPr>
          <w:rFonts w:hint="default" w:ascii="Times New Roman" w:hAnsi="Times New Roman" w:eastAsia="宋体" w:cs="Times New Roman"/>
          <w:color w:val="auto"/>
          <w:sz w:val="24"/>
          <w:szCs w:val="24"/>
          <w:vertAlign w:val="superscript"/>
        </w:rPr>
        <w:instrText xml:space="preserve"> REF _Ref16782 \r \h </w:instrText>
      </w:r>
      <w:r>
        <w:rPr>
          <w:rFonts w:hint="default" w:ascii="Times New Roman" w:hAnsi="Times New Roman" w:eastAsia="宋体" w:cs="Times New Roman"/>
          <w:color w:val="auto"/>
          <w:sz w:val="24"/>
          <w:szCs w:val="24"/>
          <w:vertAlign w:val="superscript"/>
        </w:rPr>
        <w:fldChar w:fldCharType="separate"/>
      </w:r>
      <w:r>
        <w:rPr>
          <w:rFonts w:hint="default" w:ascii="Times New Roman" w:hAnsi="Times New Roman" w:eastAsia="宋体" w:cs="Times New Roman"/>
          <w:color w:val="auto"/>
          <w:sz w:val="24"/>
          <w:szCs w:val="24"/>
          <w:vertAlign w:val="superscript"/>
        </w:rPr>
        <w:t>[13]</w:t>
      </w:r>
      <w:r>
        <w:rPr>
          <w:rFonts w:hint="default" w:ascii="Times New Roman" w:hAnsi="Times New Roman" w:eastAsia="宋体" w:cs="Times New Roman"/>
          <w:color w:val="auto"/>
          <w:sz w:val="24"/>
          <w:szCs w:val="24"/>
          <w:vertAlign w:val="superscript"/>
        </w:rPr>
        <w:fldChar w:fldCharType="end"/>
      </w:r>
      <w:r>
        <w:rPr>
          <w:rFonts w:hint="default" w:ascii="Times New Roman" w:hAnsi="Times New Roman" w:eastAsia="宋体" w:cs="Times New Roman"/>
          <w:color w:val="auto"/>
          <w:sz w:val="24"/>
          <w:szCs w:val="24"/>
        </w:rPr>
        <w:t>。</w:t>
      </w:r>
    </w:p>
    <w:p w14:paraId="1CFC2C90">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广义的虚拟财产包含的内容过于庞杂且究其本质也不尽相同，狭义上的虚拟财产更有其合理性，对于虚拟财产的探讨更多应该从司法实践的纠纷中出发。查询大多数司法实践案件会发现大多都属于用户的侵权案件纠纷，即玩家的具有财产价值的虚拟财产受到了侵犯而产生的纠纷，类似于电子邮箱且本身并不具有流通性和稀缺性，不应当列入虚拟财产范围之内来予以保护。</w:t>
      </w:r>
    </w:p>
    <w:p w14:paraId="284B3622">
      <w:pPr>
        <w:pStyle w:val="3"/>
        <w:bidi w:val="0"/>
        <w:rPr>
          <w:rFonts w:hint="default"/>
        </w:rPr>
      </w:pPr>
      <w:bookmarkStart w:id="95" w:name="_Toc24298"/>
      <w:bookmarkStart w:id="96" w:name="_Toc6287"/>
      <w:r>
        <w:rPr>
          <w:rFonts w:hint="default"/>
        </w:rPr>
        <w:t>2.2 网络虚拟财产的财产属性</w:t>
      </w:r>
      <w:bookmarkEnd w:id="95"/>
      <w:bookmarkEnd w:id="96"/>
    </w:p>
    <w:p w14:paraId="16F4EA66">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财产作为具有现实价值的概念，其价值评估却面临诸多困难，这使其财产属性的认定存在挑战。随着社会经济、科技进步及价值观念的演变，人们对财产概念的认知持续深化。这一历史性概念的内涵与外延不断扩展，与其他法律术语一样，</w:t>
      </w:r>
      <w:r>
        <w:rPr>
          <w:rFonts w:hint="eastAsia" w:ascii="Times New Roman" w:hAnsi="Times New Roman" w:eastAsia="宋体" w:cs="Times New Roman"/>
          <w:color w:val="auto"/>
          <w:sz w:val="24"/>
          <w:szCs w:val="24"/>
          <w:lang w:eastAsia="zh-CN"/>
        </w:rPr>
        <w:t>“财产”</w:t>
      </w:r>
      <w:r>
        <w:rPr>
          <w:rFonts w:hint="default" w:ascii="Times New Roman" w:hAnsi="Times New Roman" w:eastAsia="宋体" w:cs="Times New Roman"/>
          <w:color w:val="auto"/>
          <w:sz w:val="24"/>
          <w:szCs w:val="24"/>
        </w:rPr>
        <w:t>一词也经历了从日常用语到法律用语的变化历程，经济学、法哲学甚至在法律史上，不同时期的</w:t>
      </w:r>
      <w:r>
        <w:rPr>
          <w:rFonts w:hint="eastAsia" w:ascii="Times New Roman" w:hAnsi="Times New Roman" w:eastAsia="宋体" w:cs="Times New Roman"/>
          <w:color w:val="auto"/>
          <w:sz w:val="24"/>
          <w:szCs w:val="24"/>
          <w:lang w:eastAsia="zh-CN"/>
        </w:rPr>
        <w:t>“财产”</w:t>
      </w:r>
      <w:r>
        <w:rPr>
          <w:rFonts w:hint="default" w:ascii="Times New Roman" w:hAnsi="Times New Roman" w:eastAsia="宋体" w:cs="Times New Roman"/>
          <w:color w:val="auto"/>
          <w:sz w:val="24"/>
          <w:szCs w:val="24"/>
        </w:rPr>
        <w:t>具有着不同的概念与意义。</w:t>
      </w:r>
    </w:p>
    <w:p w14:paraId="26F00424">
      <w:pPr>
        <w:pStyle w:val="4"/>
        <w:bidi w:val="0"/>
        <w:rPr>
          <w:rFonts w:hint="default"/>
        </w:rPr>
      </w:pPr>
      <w:bookmarkStart w:id="97" w:name="_Toc12821"/>
      <w:bookmarkStart w:id="98" w:name="_Toc5772"/>
      <w:r>
        <w:rPr>
          <w:rFonts w:hint="default"/>
        </w:rPr>
        <w:t>2.2.1 民法意义上的财产含义</w:t>
      </w:r>
      <w:bookmarkEnd w:id="97"/>
      <w:bookmarkEnd w:id="98"/>
    </w:p>
    <w:p w14:paraId="3B06C872">
      <w:pPr>
        <w:keepNext w:val="0"/>
        <w:keepLines w:val="0"/>
        <w:pageBreakBefore w:val="0"/>
        <w:widowControl w:val="0"/>
        <w:kinsoku/>
        <w:wordWrap/>
        <w:overflowPunct/>
        <w:topLinePunct w:val="0"/>
        <w:autoSpaceDE/>
        <w:autoSpaceDN/>
        <w:bidi w:val="0"/>
        <w:adjustRightInd/>
        <w:snapToGrid/>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财产是指具有经济价值的智力成果、利益和有体物。成为财产需要具备三个条件：一、价值性。即财产必须能够满足人们物质或精神层面的需求，具有实际使用价值；二、稀缺性。只有那些数量有限、并非唾手可得的资源才具备法律保护的必要性。例如在降水充沛地区，雨水虽具有使用价值但因缺乏稀缺性而不被视为财产；三、流通性。财产是能够被交易的，能够在交易市场流通，财产必须能够通过市场交易实现价值转移，民法领域内，财产权与人身权的重要区别之一就是财产能够为人力所控制并交易，从而获得交易中的价值。</w:t>
      </w:r>
    </w:p>
    <w:p w14:paraId="2F7C2E2C">
      <w:pPr>
        <w:pStyle w:val="4"/>
        <w:bidi w:val="0"/>
        <w:rPr>
          <w:rFonts w:hint="default"/>
        </w:rPr>
      </w:pPr>
      <w:bookmarkStart w:id="99" w:name="_Toc18901"/>
      <w:bookmarkStart w:id="100" w:name="_Toc5459"/>
      <w:r>
        <w:rPr>
          <w:rFonts w:hint="default"/>
        </w:rPr>
        <w:t>2.2.2 网络虚拟财产与现实财产的价值关联性</w:t>
      </w:r>
      <w:bookmarkEnd w:id="99"/>
      <w:bookmarkEnd w:id="100"/>
    </w:p>
    <w:p w14:paraId="640EC35E">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网络虚拟财产和现实生活中的财产有着十分紧密的联系。网络虚拟财产的取得往往需要支付现实生活之中的财产作为对价，比如网络游戏中的商店里的装备和皮肤往往需要现实生活中的货币来兑换。与此同时这些虚拟资产在现实社会中同样能够实现价值流通，游戏玩家可以通过线上交易平台或其他渠道，将虚拟装备转化为现实货币或其他财产形式。财产之所以具有交易价值，关键在于其同时具备价值性、稀缺性与可流通性。综上所述，财产并不仅仅包括有体物，在这种意义上，虚拟财产也可以成为财产。具体而言，虚拟财产的价值性不仅体现在其作为数据记录的存在，更在于其能够满足用户的使用需求，甚至承载情感价值。</w:t>
      </w:r>
    </w:p>
    <w:p w14:paraId="544E17F6">
      <w:pPr>
        <w:pStyle w:val="3"/>
        <w:bidi w:val="0"/>
        <w:rPr>
          <w:rFonts w:hint="default"/>
        </w:rPr>
      </w:pPr>
      <w:bookmarkStart w:id="101" w:name="_Toc10848"/>
      <w:bookmarkStart w:id="102" w:name="_Toc1822"/>
      <w:r>
        <w:rPr>
          <w:rFonts w:hint="default"/>
        </w:rPr>
        <w:t>2.3 网络虚拟财产的法律属性</w:t>
      </w:r>
      <w:bookmarkEnd w:id="101"/>
      <w:bookmarkEnd w:id="102"/>
    </w:p>
    <w:p w14:paraId="7555E6B3">
      <w:pPr>
        <w:pStyle w:val="4"/>
        <w:bidi w:val="0"/>
        <w:rPr>
          <w:rFonts w:hint="default"/>
        </w:rPr>
      </w:pPr>
      <w:bookmarkStart w:id="103" w:name="_Toc16056"/>
      <w:bookmarkStart w:id="104" w:name="_Toc7770"/>
      <w:r>
        <w:rPr>
          <w:rFonts w:hint="default"/>
        </w:rPr>
        <w:t>2.3.1 物权说</w:t>
      </w:r>
      <w:bookmarkEnd w:id="103"/>
      <w:bookmarkEnd w:id="104"/>
    </w:p>
    <w:p w14:paraId="50F1BB74">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物权的本质特征体现为权利人可直接支配标的物这一特性，该支配关系在法律范畴表现为物权受到损害之际，权利人可直接提出排除妨害的主张，以此恢复其对物的全面控制情形，我国《民法典》采用</w:t>
      </w:r>
      <w:r>
        <w:rPr>
          <w:rFonts w:hint="eastAsia" w:ascii="Times New Roman" w:hAnsi="Times New Roman" w:eastAsia="宋体" w:cs="Times New Roman"/>
          <w:color w:val="auto"/>
          <w:sz w:val="24"/>
          <w:szCs w:val="24"/>
          <w:lang w:eastAsia="zh-CN"/>
        </w:rPr>
        <w:t>“占有、使用、收益、处分”</w:t>
      </w:r>
      <w:r>
        <w:rPr>
          <w:rFonts w:hint="default" w:ascii="Times New Roman" w:hAnsi="Times New Roman" w:eastAsia="宋体" w:cs="Times New Roman"/>
          <w:color w:val="auto"/>
          <w:sz w:val="24"/>
          <w:szCs w:val="24"/>
        </w:rPr>
        <w:t>四项权能体系，对这一支配关系作出了具体化说明：占有体现出权利人对物的实际控制状态，成为物权支配的物质根基，使用体现成权利人依靠物的效能发挥去实现其使用价值的过程，收益其实是占有与使用行为衍生的经济价值的转化；处分权作为支配性的最顶级表现形式，含有事实处分（比如物的消耗或改造）和法律处分（比如所有权的转移）双重方面</w:t>
      </w:r>
      <w:r>
        <w:rPr>
          <w:rFonts w:hint="default" w:ascii="Times New Roman" w:hAnsi="Times New Roman" w:eastAsia="宋体" w:cs="Times New Roman"/>
          <w:color w:val="auto"/>
          <w:sz w:val="24"/>
          <w:szCs w:val="24"/>
          <w:vertAlign w:val="superscript"/>
        </w:rPr>
        <w:fldChar w:fldCharType="begin"/>
      </w:r>
      <w:r>
        <w:rPr>
          <w:rFonts w:hint="default" w:ascii="Times New Roman" w:hAnsi="Times New Roman" w:eastAsia="宋体" w:cs="Times New Roman"/>
          <w:color w:val="auto"/>
          <w:sz w:val="24"/>
          <w:szCs w:val="24"/>
          <w:vertAlign w:val="superscript"/>
        </w:rPr>
        <w:instrText xml:space="preserve"> REF _Ref16857 \r \h </w:instrText>
      </w:r>
      <w:r>
        <w:rPr>
          <w:rFonts w:hint="default" w:ascii="Times New Roman" w:hAnsi="Times New Roman" w:eastAsia="宋体" w:cs="Times New Roman"/>
          <w:color w:val="auto"/>
          <w:sz w:val="24"/>
          <w:szCs w:val="24"/>
          <w:vertAlign w:val="superscript"/>
        </w:rPr>
        <w:fldChar w:fldCharType="separate"/>
      </w:r>
      <w:r>
        <w:rPr>
          <w:rFonts w:hint="default" w:ascii="Times New Roman" w:hAnsi="Times New Roman" w:eastAsia="宋体" w:cs="Times New Roman"/>
          <w:color w:val="auto"/>
          <w:sz w:val="24"/>
          <w:szCs w:val="24"/>
          <w:vertAlign w:val="superscript"/>
        </w:rPr>
        <w:t>[14]</w:t>
      </w:r>
      <w:r>
        <w:rPr>
          <w:rFonts w:hint="default" w:ascii="Times New Roman" w:hAnsi="Times New Roman" w:eastAsia="宋体" w:cs="Times New Roman"/>
          <w:color w:val="auto"/>
          <w:sz w:val="24"/>
          <w:szCs w:val="24"/>
          <w:vertAlign w:val="superscript"/>
        </w:rPr>
        <w:fldChar w:fldCharType="end"/>
      </w:r>
      <w:r>
        <w:rPr>
          <w:rFonts w:hint="default" w:ascii="Times New Roman" w:hAnsi="Times New Roman" w:eastAsia="宋体" w:cs="Times New Roman"/>
          <w:color w:val="auto"/>
          <w:sz w:val="24"/>
          <w:szCs w:val="24"/>
        </w:rPr>
        <w:t>。</w:t>
      </w:r>
    </w:p>
    <w:p w14:paraId="2AB95F82">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对虚拟财产物权属性的质疑，大多是因为其本质特征和现行法律框架的契合度问题，按照本体论角度审视，虚拟财产难以归进传统物权客体的范畴里：我国法律体系里的</w:t>
      </w:r>
      <w:r>
        <w:rPr>
          <w:rFonts w:hint="eastAsia" w:ascii="Times New Roman" w:hAnsi="Times New Roman" w:eastAsia="宋体" w:cs="Times New Roman"/>
          <w:color w:val="auto"/>
          <w:sz w:val="24"/>
          <w:szCs w:val="24"/>
          <w:lang w:eastAsia="zh-CN"/>
        </w:rPr>
        <w:t>“物”</w:t>
      </w:r>
      <w:r>
        <w:rPr>
          <w:rFonts w:hint="default" w:ascii="Times New Roman" w:hAnsi="Times New Roman" w:eastAsia="宋体" w:cs="Times New Roman"/>
          <w:color w:val="auto"/>
          <w:sz w:val="24"/>
          <w:szCs w:val="24"/>
        </w:rPr>
        <w:t>一般限定为有体物和特定无体物这两类，而虚拟财产不存在有体物所需的物质实体，也与无体物像光、热、声等自然现象的客观存在特征不相符。现有的法律在第一百二十七条中说到了网络虚拟财产保护，但未明确地把此表述归类为物权客体，而是运用保留态度的宣示性表述，在这个规范背景的条件下，直接将虚拟财产归入物权这个范畴的做法，不仅面临理论自洽性上的挑战，更有机会构成对物权法定基本原则的实质性冲击</w:t>
      </w:r>
      <w:r>
        <w:rPr>
          <w:rFonts w:hint="default" w:ascii="Times New Roman" w:hAnsi="Times New Roman" w:eastAsia="宋体" w:cs="Times New Roman"/>
          <w:color w:val="auto"/>
          <w:sz w:val="24"/>
          <w:szCs w:val="24"/>
          <w:vertAlign w:val="superscript"/>
        </w:rPr>
        <w:fldChar w:fldCharType="begin"/>
      </w:r>
      <w:r>
        <w:rPr>
          <w:rFonts w:hint="default" w:ascii="Times New Roman" w:hAnsi="Times New Roman" w:eastAsia="宋体" w:cs="Times New Roman"/>
          <w:color w:val="auto"/>
          <w:sz w:val="24"/>
          <w:szCs w:val="24"/>
          <w:vertAlign w:val="superscript"/>
        </w:rPr>
        <w:instrText xml:space="preserve"> REF _Ref17553 \r \h </w:instrText>
      </w:r>
      <w:r>
        <w:rPr>
          <w:rFonts w:hint="default" w:ascii="Times New Roman" w:hAnsi="Times New Roman" w:eastAsia="宋体" w:cs="Times New Roman"/>
          <w:color w:val="auto"/>
          <w:sz w:val="24"/>
          <w:szCs w:val="24"/>
          <w:vertAlign w:val="superscript"/>
        </w:rPr>
        <w:fldChar w:fldCharType="separate"/>
      </w:r>
      <w:r>
        <w:rPr>
          <w:rFonts w:hint="default" w:ascii="Times New Roman" w:hAnsi="Times New Roman" w:eastAsia="宋体" w:cs="Times New Roman"/>
          <w:color w:val="auto"/>
          <w:sz w:val="24"/>
          <w:szCs w:val="24"/>
          <w:vertAlign w:val="superscript"/>
        </w:rPr>
        <w:t>[15]</w:t>
      </w:r>
      <w:r>
        <w:rPr>
          <w:rFonts w:hint="default" w:ascii="Times New Roman" w:hAnsi="Times New Roman" w:eastAsia="宋体" w:cs="Times New Roman"/>
          <w:color w:val="auto"/>
          <w:sz w:val="24"/>
          <w:szCs w:val="24"/>
          <w:vertAlign w:val="superscript"/>
        </w:rPr>
        <w:fldChar w:fldCharType="end"/>
      </w:r>
      <w:r>
        <w:rPr>
          <w:rFonts w:hint="default" w:ascii="Times New Roman" w:hAnsi="Times New Roman" w:eastAsia="宋体" w:cs="Times New Roman"/>
          <w:color w:val="auto"/>
          <w:sz w:val="24"/>
          <w:szCs w:val="24"/>
        </w:rPr>
        <w:t>，这种规范跟现实之间呈现的张力，反映出传统财产权理论于数字时代面临的解释障碍，也提示我们得在现存的法律框架之外探究更贴合虚拟财产特性的权利构造模式。</w:t>
      </w:r>
    </w:p>
    <w:p w14:paraId="23A227FB">
      <w:pPr>
        <w:pStyle w:val="4"/>
        <w:bidi w:val="0"/>
        <w:rPr>
          <w:rFonts w:hint="default"/>
        </w:rPr>
      </w:pPr>
      <w:bookmarkStart w:id="105" w:name="_Toc12340"/>
      <w:bookmarkStart w:id="106" w:name="_Toc5438"/>
      <w:r>
        <w:rPr>
          <w:rFonts w:hint="default"/>
        </w:rPr>
        <w:t>2.3.2 债权说</w:t>
      </w:r>
      <w:bookmarkEnd w:id="105"/>
      <w:bookmarkEnd w:id="106"/>
    </w:p>
    <w:p w14:paraId="2054E81A">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有关虚拟财产法律属性相关的债权说理论，其核心主旨是把虚拟财产的法律关系设定为服务合同框架内的债权债务关系</w:t>
      </w:r>
      <w:r>
        <w:rPr>
          <w:rFonts w:hint="default" w:ascii="Times New Roman" w:hAnsi="Times New Roman" w:eastAsia="宋体" w:cs="Times New Roman"/>
          <w:color w:val="auto"/>
          <w:sz w:val="24"/>
          <w:szCs w:val="24"/>
          <w:vertAlign w:val="superscript"/>
        </w:rPr>
        <w:fldChar w:fldCharType="begin"/>
      </w:r>
      <w:r>
        <w:rPr>
          <w:rFonts w:hint="default" w:ascii="Times New Roman" w:hAnsi="Times New Roman" w:eastAsia="宋体" w:cs="Times New Roman"/>
          <w:color w:val="auto"/>
          <w:sz w:val="24"/>
          <w:szCs w:val="24"/>
          <w:vertAlign w:val="superscript"/>
        </w:rPr>
        <w:instrText xml:space="preserve"> REF _Ref17621 \r \h </w:instrText>
      </w:r>
      <w:r>
        <w:rPr>
          <w:rFonts w:hint="default" w:ascii="Times New Roman" w:hAnsi="Times New Roman" w:eastAsia="宋体" w:cs="Times New Roman"/>
          <w:color w:val="auto"/>
          <w:sz w:val="24"/>
          <w:szCs w:val="24"/>
          <w:vertAlign w:val="superscript"/>
        </w:rPr>
        <w:fldChar w:fldCharType="separate"/>
      </w:r>
      <w:r>
        <w:rPr>
          <w:rFonts w:hint="default" w:ascii="Times New Roman" w:hAnsi="Times New Roman" w:eastAsia="宋体" w:cs="Times New Roman"/>
          <w:color w:val="auto"/>
          <w:sz w:val="24"/>
          <w:szCs w:val="24"/>
          <w:vertAlign w:val="superscript"/>
        </w:rPr>
        <w:t>[16</w:t>
      </w:r>
      <w:r>
        <w:rPr>
          <w:rFonts w:hint="eastAsia" w:ascii="Times New Roman" w:hAnsi="Times New Roman" w:eastAsia="宋体" w:cs="Times New Roman"/>
          <w:color w:val="auto"/>
          <w:sz w:val="24"/>
          <w:szCs w:val="24"/>
          <w:vertAlign w:val="superscript"/>
          <w:lang w:val="en-US" w:eastAsia="zh-CN"/>
        </w:rPr>
        <w:t>-17</w:t>
      </w:r>
      <w:r>
        <w:rPr>
          <w:rFonts w:hint="default" w:ascii="Times New Roman" w:hAnsi="Times New Roman" w:eastAsia="宋体" w:cs="Times New Roman"/>
          <w:color w:val="auto"/>
          <w:sz w:val="24"/>
          <w:szCs w:val="24"/>
          <w:vertAlign w:val="superscript"/>
        </w:rPr>
        <w:t>]</w:t>
      </w:r>
      <w:r>
        <w:rPr>
          <w:rFonts w:hint="default" w:ascii="Times New Roman" w:hAnsi="Times New Roman" w:eastAsia="宋体" w:cs="Times New Roman"/>
          <w:color w:val="auto"/>
          <w:sz w:val="24"/>
          <w:szCs w:val="24"/>
          <w:vertAlign w:val="superscript"/>
        </w:rPr>
        <w:fldChar w:fldCharType="end"/>
      </w:r>
      <w:r>
        <w:rPr>
          <w:rFonts w:hint="default" w:ascii="Times New Roman" w:hAnsi="Times New Roman" w:eastAsia="宋体" w:cs="Times New Roman"/>
          <w:color w:val="auto"/>
          <w:sz w:val="24"/>
          <w:szCs w:val="24"/>
        </w:rPr>
        <w:t>，此理论觉得，用户跟运营商借助格式化的网络服务协议建立起契约纽带，从本质上看，虚拟财产并非独立的权利客体，而是运营商所供给服务的一种表现模样，在这种法律关系的情境里，用户对虚拟财产权利的行使，完全被运营商设定的技术框架及服务条款管控，其权利内容主要呈现为请求运营商给予特定服务的债权，而并非具备对虚拟财产本身的支配权。</w:t>
      </w:r>
    </w:p>
    <w:p w14:paraId="2A3B7DAB">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债权说的论证主要凭借三个维度的观察：就合同关系的形成过程而言，用户在进行账号注册时必须接受运营商预先备好的格式条款，这些条款把双方的权利义务、服务内容、使用规则以及违约责任等事项详细规定了，用户经由点击</w:t>
      </w:r>
      <w:r>
        <w:rPr>
          <w:rFonts w:hint="eastAsia" w:ascii="Times New Roman" w:hAnsi="Times New Roman" w:eastAsia="宋体" w:cs="Times New Roman"/>
          <w:color w:val="auto"/>
          <w:sz w:val="24"/>
          <w:szCs w:val="24"/>
          <w:lang w:eastAsia="zh-CN"/>
        </w:rPr>
        <w:t>“同意”</w:t>
      </w:r>
      <w:r>
        <w:rPr>
          <w:rFonts w:hint="default" w:ascii="Times New Roman" w:hAnsi="Times New Roman" w:eastAsia="宋体" w:cs="Times New Roman"/>
          <w:color w:val="auto"/>
          <w:sz w:val="24"/>
          <w:szCs w:val="24"/>
        </w:rPr>
        <w:t>按钮完成契约缔结事宜，获取运营商提供的账号及密码，这一过程从本质上建立了服务请求与提供的法律纽带。就虚拟财产本质的实际情形而言，游戏中的道具、装备等虚拟物件，实际上属于运营商提供的服务范畴，用户支付相应对价或投入游戏时间，进而获得这些服务内容的使用权，就游戏武器而言，其功能的设定以及使用规则全由运营商决定，用户仅能在运营商给定的范围内行使使用的权限。就虚拟财产的交易举动，债权说把这个交易行为界定为债权让与，而非物权转让，用户在游戏市场当中交易装备的举动，本质上是把对运营商的服务请求权转让给别的人，该转让受原始服务协议的限制以及约束，不容忽视的是，债权说着重指出虚拟财产权利行使的受限性特质。鉴于全部虚拟财产都存在于运营商掌管的服务器环境里，用户针对虚拟财产的所有操作，均需借助运营商的技术系统达成，这种完全借助技术平台实现权利的模式，同传统物权理论里的直接支配性构成明显反差，正是凭借这种特性，债权说主张把虚拟财产纳入债权体系，而不是物权体系进行规制，认为这样的定性更契合虚拟财产在技术实现与商业实践里的本质特点。</w:t>
      </w:r>
    </w:p>
    <w:p w14:paraId="63B1085E">
      <w:pPr>
        <w:pStyle w:val="4"/>
        <w:bidi w:val="0"/>
        <w:rPr>
          <w:rFonts w:hint="default"/>
        </w:rPr>
      </w:pPr>
      <w:bookmarkStart w:id="107" w:name="_Toc7909"/>
      <w:bookmarkStart w:id="108" w:name="_Toc13182"/>
      <w:r>
        <w:rPr>
          <w:rFonts w:hint="default"/>
        </w:rPr>
        <w:t>2.3.3 知识产权说</w:t>
      </w:r>
      <w:bookmarkEnd w:id="107"/>
      <w:bookmarkEnd w:id="108"/>
    </w:p>
    <w:p w14:paraId="3F7A9144">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有关虚拟财产知识产权属性的理论讨论分歧，能够从权利主体的认定以及客体特征的匹配这两个层面展开深入分析，就权利主体的认定而言，学说内部有明显的分歧：部分学者声称虚拟财产是游戏系统的一部分组成，此知识产权应归开发商持有，由于游戏的整体架构、数据编码等关键部分均由开发商进行创造，用户仅被赋予使用权；另有观点宣称，用户在游戏中开展的创造性劳动（如角色培养、装备打造等具体活动）让其成为虚拟财产的智力贡献者，理应具备相应的知识产权，这种分歧本质上反映出数字经济时代新型劳动成果于传统知识产权体系中的定位困境。</w:t>
      </w:r>
    </w:p>
    <w:p w14:paraId="4E414A6F">
      <w:pPr>
        <w:pStyle w:val="4"/>
        <w:bidi w:val="0"/>
        <w:rPr>
          <w:rFonts w:hint="default"/>
        </w:rPr>
      </w:pPr>
      <w:bookmarkStart w:id="109" w:name="_Toc26086"/>
      <w:bookmarkStart w:id="110" w:name="_Toc23893"/>
      <w:r>
        <w:rPr>
          <w:rFonts w:hint="default"/>
        </w:rPr>
        <w:t>2.3.4 新型权利说</w:t>
      </w:r>
      <w:bookmarkEnd w:id="109"/>
      <w:bookmarkEnd w:id="110"/>
    </w:p>
    <w:p w14:paraId="328A7F08">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就虚拟财产法律属性而言的新型权利说法，其核心的观点是突破传统民法</w:t>
      </w:r>
      <w:r>
        <w:rPr>
          <w:rFonts w:hint="eastAsia" w:ascii="Times New Roman" w:hAnsi="Times New Roman" w:eastAsia="宋体" w:cs="Times New Roman"/>
          <w:color w:val="auto"/>
          <w:sz w:val="24"/>
          <w:szCs w:val="24"/>
          <w:lang w:eastAsia="zh-CN"/>
        </w:rPr>
        <w:t>“物债二分”</w:t>
      </w:r>
      <w:r>
        <w:rPr>
          <w:rFonts w:hint="default" w:ascii="Times New Roman" w:hAnsi="Times New Roman" w:eastAsia="宋体" w:cs="Times New Roman"/>
          <w:color w:val="auto"/>
          <w:sz w:val="24"/>
          <w:szCs w:val="24"/>
        </w:rPr>
        <w:t>的理论范畴，将虚拟财产归为兼具物权与债权特性的新型权利形式，该学说精准地把握到数字时代财产形态的变革特性，指出虚拟财产具备用户对特定数据集合的支配权限，又依赖运营商持续开展的服务工作，这种复合型权利结构不易被既有的物权或债权理论充分包含，支持者对权利变动公示方法、存续期间、占有权能等要素进行系统分析，论述虚拟财产跟典型物权的差异性，强调盲目套用传统理论将引发法律适用的偏差</w:t>
      </w:r>
      <w:r>
        <w:rPr>
          <w:rFonts w:hint="default" w:ascii="Times New Roman" w:hAnsi="Times New Roman" w:eastAsia="宋体" w:cs="Times New Roman"/>
          <w:color w:val="auto"/>
          <w:sz w:val="24"/>
          <w:szCs w:val="24"/>
          <w:vertAlign w:val="superscript"/>
        </w:rPr>
        <w:fldChar w:fldCharType="begin"/>
      </w:r>
      <w:r>
        <w:rPr>
          <w:rFonts w:hint="default" w:ascii="Times New Roman" w:hAnsi="Times New Roman" w:eastAsia="宋体" w:cs="Times New Roman"/>
          <w:color w:val="auto"/>
          <w:sz w:val="24"/>
          <w:szCs w:val="24"/>
          <w:vertAlign w:val="superscript"/>
        </w:rPr>
        <w:instrText xml:space="preserve"> REF _Ref17745 \r \h </w:instrText>
      </w:r>
      <w:r>
        <w:rPr>
          <w:rFonts w:hint="default" w:ascii="Times New Roman" w:hAnsi="Times New Roman" w:eastAsia="宋体" w:cs="Times New Roman"/>
          <w:color w:val="auto"/>
          <w:sz w:val="24"/>
          <w:szCs w:val="24"/>
          <w:vertAlign w:val="superscript"/>
        </w:rPr>
        <w:fldChar w:fldCharType="separate"/>
      </w:r>
      <w:r>
        <w:rPr>
          <w:rFonts w:hint="default" w:ascii="Times New Roman" w:hAnsi="Times New Roman" w:eastAsia="宋体" w:cs="Times New Roman"/>
          <w:color w:val="auto"/>
          <w:sz w:val="24"/>
          <w:szCs w:val="24"/>
          <w:vertAlign w:val="superscript"/>
        </w:rPr>
        <w:t>[18]</w:t>
      </w:r>
      <w:r>
        <w:rPr>
          <w:rFonts w:hint="default" w:ascii="Times New Roman" w:hAnsi="Times New Roman" w:eastAsia="宋体" w:cs="Times New Roman"/>
          <w:color w:val="auto"/>
          <w:sz w:val="24"/>
          <w:szCs w:val="24"/>
          <w:vertAlign w:val="superscript"/>
        </w:rPr>
        <w:fldChar w:fldCharType="end"/>
      </w:r>
      <w:r>
        <w:rPr>
          <w:rFonts w:hint="default" w:ascii="Times New Roman" w:hAnsi="Times New Roman" w:eastAsia="宋体" w:cs="Times New Roman"/>
          <w:color w:val="auto"/>
          <w:sz w:val="24"/>
          <w:szCs w:val="24"/>
        </w:rPr>
        <w:t>。</w:t>
      </w:r>
    </w:p>
    <w:p w14:paraId="1B8A4A7B">
      <w:pPr>
        <w:keepNext w:val="0"/>
        <w:keepLines w:val="0"/>
        <w:pageBreakBefore w:val="0"/>
        <w:widowControl w:val="0"/>
        <w:kinsoku/>
        <w:wordWrap/>
        <w:overflowPunct/>
        <w:topLinePunct w:val="0"/>
        <w:autoSpaceDE/>
        <w:autoSpaceDN/>
        <w:bidi w:val="0"/>
        <w:adjustRightInd/>
        <w:snapToGrid/>
        <w:spacing w:line="440" w:lineRule="atLeas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我国《民法典》借鉴了德国民法理论，形成了逻辑严密的物债二分体系，在这个框架架构下创设全新权利类型，不仅要对既有的概念体系作出调整，还牵扯到整个财产权制度的重新构建，其制度的成本与风险不可掉以轻心。法律发展的历史事实说明，除非现有的规范彻底没办法处理新型社会关系，否则体系内采取渐进调适好过革命性变革，就虚拟财产这个范畴，虽然各学说都面临解释上的局限，但依靠物权说和债权说的创新性结合，以特别规则加以补充，依旧可以在现有的体系范畴内找到比较合理的解决办法，这种</w:t>
      </w:r>
      <w:r>
        <w:rPr>
          <w:rFonts w:hint="eastAsia" w:ascii="Times New Roman" w:hAnsi="Times New Roman" w:eastAsia="宋体" w:cs="Times New Roman"/>
          <w:color w:val="auto"/>
          <w:sz w:val="24"/>
          <w:szCs w:val="24"/>
          <w:lang w:eastAsia="zh-CN"/>
        </w:rPr>
        <w:t>“旧形式搭配新内涵”</w:t>
      </w:r>
      <w:r>
        <w:rPr>
          <w:rFonts w:hint="default" w:ascii="Times New Roman" w:hAnsi="Times New Roman" w:eastAsia="宋体" w:cs="Times New Roman"/>
          <w:color w:val="auto"/>
          <w:sz w:val="24"/>
          <w:szCs w:val="24"/>
        </w:rPr>
        <w:t>的路径，既可以维持法律体系的平稳性，又能为虚拟财产给予合理保护，或许是更具实际可行性的做法，现处于数字法律体系尚未成熟的阶段，或许保持理论开放性及制度弹性比追求概念纯粹性更有意义。</w:t>
      </w:r>
    </w:p>
    <w:p w14:paraId="74B65799">
      <w:pPr>
        <w:pStyle w:val="3"/>
        <w:bidi w:val="0"/>
        <w:rPr>
          <w:rFonts w:hint="default"/>
        </w:rPr>
      </w:pPr>
      <w:bookmarkStart w:id="111" w:name="_Toc18093"/>
      <w:bookmarkStart w:id="112" w:name="_Toc9570"/>
      <w:r>
        <w:rPr>
          <w:rFonts w:hint="default"/>
        </w:rPr>
        <w:t>2.4 本章小结</w:t>
      </w:r>
      <w:bookmarkEnd w:id="111"/>
      <w:bookmarkEnd w:id="112"/>
    </w:p>
    <w:p w14:paraId="08967CE5">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sz w:val="24"/>
          <w:szCs w:val="24"/>
        </w:rPr>
        <w:sectPr>
          <w:headerReference r:id="rId14" w:type="default"/>
          <w:footerReference r:id="rId15" w:type="default"/>
          <w:footnotePr>
            <w:numFmt w:val="decimalEnclosedCircleChinese"/>
            <w:numRestart w:val="eachPage"/>
          </w:footnotePr>
          <w:pgSz w:w="11905" w:h="16838"/>
          <w:pgMar w:top="1587" w:right="1417" w:bottom="1587" w:left="1417" w:header="1134" w:footer="1134" w:gutter="0"/>
          <w:pgBorders>
            <w:top w:val="none" w:sz="0" w:space="0"/>
            <w:left w:val="none" w:sz="0" w:space="0"/>
            <w:bottom w:val="none" w:sz="0" w:space="0"/>
            <w:right w:val="none" w:sz="0" w:space="0"/>
          </w:pgBorders>
          <w:pgNumType w:fmt="decimal"/>
          <w:cols w:space="0" w:num="1"/>
          <w:rtlGutter w:val="0"/>
          <w:docGrid w:linePitch="312" w:charSpace="0"/>
        </w:sectPr>
      </w:pPr>
      <w:r>
        <w:rPr>
          <w:rFonts w:hint="default" w:ascii="Times New Roman" w:hAnsi="Times New Roman" w:eastAsia="宋体" w:cs="Times New Roman"/>
          <w:color w:val="auto"/>
          <w:sz w:val="24"/>
          <w:szCs w:val="24"/>
        </w:rPr>
        <w:t>关于虚拟财产法律属性的理论争议，本文倾向于支持物权说的理论立场，虚拟财产虽然以数据形式存在于网络空间，但其具有的排他支配特性与物权本质高度契合。传统理论对物权说的质疑主要基于两方面考量：一方面源于虚拟财产的无体物特征与物权客体传统认知的冲突，另一方面则基于虚拟财产支配权实现的技术依赖性特征。在数字经济蓬勃发展的背景下，将虚拟财产纳入物权体系加以保护，既能维持法律体系的稳定性，又能为新型财产关系提供清晰的权利界定，不失为平衡创新与秩序的最佳选择。</w:t>
      </w:r>
    </w:p>
    <w:p w14:paraId="4E386201">
      <w:pPr>
        <w:pStyle w:val="2"/>
        <w:bidi w:val="0"/>
        <w:rPr>
          <w:rFonts w:hint="default"/>
        </w:rPr>
      </w:pPr>
      <w:bookmarkStart w:id="113" w:name="_Toc4130"/>
      <w:bookmarkStart w:id="114" w:name="_Toc10310"/>
      <w:r>
        <w:rPr>
          <w:rFonts w:hint="default"/>
        </w:rPr>
        <w:t>第3章 网络虚拟财产保护中存在的问题</w:t>
      </w:r>
      <w:bookmarkEnd w:id="113"/>
      <w:bookmarkEnd w:id="114"/>
    </w:p>
    <w:p w14:paraId="79C7FCB3">
      <w:pPr>
        <w:pStyle w:val="3"/>
        <w:bidi w:val="0"/>
        <w:rPr>
          <w:rFonts w:hint="default"/>
        </w:rPr>
      </w:pPr>
      <w:bookmarkStart w:id="115" w:name="_Toc19267"/>
      <w:bookmarkStart w:id="116" w:name="_Toc2297"/>
      <w:r>
        <w:rPr>
          <w:rFonts w:hint="default"/>
        </w:rPr>
        <w:t>3.1 网络虚拟财产可继承性的法律依据缺失</w:t>
      </w:r>
      <w:bookmarkEnd w:id="115"/>
      <w:bookmarkEnd w:id="116"/>
    </w:p>
    <w:p w14:paraId="547562F9">
      <w:pPr>
        <w:pStyle w:val="4"/>
        <w:bidi w:val="0"/>
        <w:rPr>
          <w:rFonts w:hint="default"/>
        </w:rPr>
      </w:pPr>
      <w:bookmarkStart w:id="117" w:name="_Toc11712"/>
      <w:bookmarkStart w:id="118" w:name="_Toc20549"/>
      <w:r>
        <w:rPr>
          <w:rFonts w:hint="default"/>
        </w:rPr>
        <w:t>3.1.1 法律属性争议导致继承资格认定困难</w:t>
      </w:r>
      <w:bookmarkEnd w:id="117"/>
      <w:bookmarkEnd w:id="118"/>
    </w:p>
    <w:p w14:paraId="02DF819C">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我国虚拟财产法律属性定位至今尚未明确，导致立法及司法实践面临诸多阻碍，《民法典》第127条虽说承认网络虚拟财产受法律保护，但只作出宣示性的规定，未清楚界定其法律属性，反映出立法机关对虚拟财产权利性质的理解仍有分歧，学界大多存在</w:t>
      </w:r>
      <w:r>
        <w:rPr>
          <w:rFonts w:hint="eastAsia" w:ascii="Times New Roman" w:hAnsi="Times New Roman" w:eastAsia="宋体" w:cs="Times New Roman"/>
          <w:color w:val="auto"/>
          <w:sz w:val="24"/>
          <w:szCs w:val="24"/>
          <w:lang w:eastAsia="zh-CN"/>
        </w:rPr>
        <w:t>“物权说”</w:t>
      </w:r>
      <w:r>
        <w:rPr>
          <w:rFonts w:hint="default" w:ascii="Times New Roman" w:hAnsi="Times New Roman" w:eastAsia="宋体" w:cs="Times New Roman"/>
          <w:color w:val="auto"/>
          <w:sz w:val="24"/>
          <w:szCs w:val="24"/>
        </w:rPr>
        <w:t>跟</w:t>
      </w:r>
      <w:r>
        <w:rPr>
          <w:rFonts w:hint="eastAsia" w:ascii="Times New Roman" w:hAnsi="Times New Roman" w:eastAsia="宋体" w:cs="Times New Roman"/>
          <w:color w:val="auto"/>
          <w:sz w:val="24"/>
          <w:szCs w:val="24"/>
          <w:lang w:eastAsia="zh-CN"/>
        </w:rPr>
        <w:t>“债权说”</w:t>
      </w:r>
      <w:r>
        <w:rPr>
          <w:rFonts w:hint="default" w:ascii="Times New Roman" w:hAnsi="Times New Roman" w:eastAsia="宋体" w:cs="Times New Roman"/>
          <w:color w:val="auto"/>
          <w:sz w:val="24"/>
          <w:szCs w:val="24"/>
        </w:rPr>
        <w:t>这两种对立看法：物权说认定虚拟财产具有排他性及支配性，用户对其享有与物权相似的绝对权利。像游戏装备、虚拟货币这类可在市场自由交易，与物权的基本特征相符，债权说表明虚拟财产本质其实是用户跟运营商之间的合同关系，其权利范围受服务协议限定，诸如社交账号、电子邮箱这类高度依靠平台服务的虚拟财产，这种理论上的分歧直接影响司法裁判走向，继而难以确定其是否属于遗产。</w:t>
      </w:r>
    </w:p>
    <w:p w14:paraId="614C13DC">
      <w:pPr>
        <w:pStyle w:val="4"/>
        <w:bidi w:val="0"/>
        <w:rPr>
          <w:rFonts w:hint="default"/>
        </w:rPr>
      </w:pPr>
      <w:bookmarkStart w:id="119" w:name="_Toc25730"/>
      <w:bookmarkStart w:id="120" w:name="_Toc9400"/>
      <w:r>
        <w:rPr>
          <w:rFonts w:hint="default"/>
        </w:rPr>
        <w:t>3.1.2 司法实践中继承纠纷裁判标准不统一</w:t>
      </w:r>
      <w:bookmarkEnd w:id="119"/>
      <w:bookmarkEnd w:id="120"/>
    </w:p>
    <w:p w14:paraId="5D6DCF01">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sz w:val="24"/>
          <w:szCs w:val="24"/>
          <w:highlight w:val="cyan"/>
        </w:rPr>
      </w:pPr>
      <w:r>
        <w:rPr>
          <w:rFonts w:hint="default" w:ascii="Times New Roman" w:hAnsi="Times New Roman" w:eastAsia="宋体" w:cs="Times New Roman"/>
          <w:color w:val="auto"/>
          <w:sz w:val="24"/>
          <w:szCs w:val="24"/>
        </w:rPr>
        <w:t>在游戏账号遭封禁的案件里，若法院接纳物权说，也许判定运营商无权单方面剥夺用户对虚拟财产的支配权；而若依照债权理论，则用户的权益完全受平台协议条款的左右，运营商享有更突出的管理权限，这种法律应用的不稳定性，造成同类案件的裁判结果差别极大，降低司法公信力水平。鉴于虚拟财产的法律属性未获明确，司法实践面临大量困境，立法的模糊状况让法官裁判时少统一标准，大多依赖对个案自由裁量，引发</w:t>
      </w:r>
      <w:r>
        <w:rPr>
          <w:rFonts w:hint="eastAsia" w:ascii="Times New Roman" w:hAnsi="Times New Roman" w:eastAsia="宋体" w:cs="Times New Roman"/>
          <w:color w:val="auto"/>
          <w:sz w:val="24"/>
          <w:szCs w:val="24"/>
          <w:lang w:eastAsia="zh-CN"/>
        </w:rPr>
        <w:t>“同案不同判”</w:t>
      </w:r>
      <w:r>
        <w:rPr>
          <w:rFonts w:hint="default" w:ascii="Times New Roman" w:hAnsi="Times New Roman" w:eastAsia="宋体" w:cs="Times New Roman"/>
          <w:color w:val="auto"/>
          <w:sz w:val="24"/>
          <w:szCs w:val="24"/>
        </w:rPr>
        <w:t>现象反复出现，涉及虚拟财产继承的相关纠纷：有的法院赞同虚拟财产具有可继承特质，而其他法院会凭借服务协议禁止转让驳回继承请求。</w:t>
      </w:r>
    </w:p>
    <w:p w14:paraId="497A9F0B">
      <w:pPr>
        <w:pStyle w:val="3"/>
        <w:bidi w:val="0"/>
        <w:rPr>
          <w:rFonts w:hint="default"/>
        </w:rPr>
      </w:pPr>
      <w:bookmarkStart w:id="121" w:name="_Toc5718"/>
      <w:bookmarkStart w:id="122" w:name="_Toc13935"/>
      <w:r>
        <w:rPr>
          <w:rFonts w:hint="default"/>
        </w:rPr>
        <w:t>3.2 网络虚拟财产继承中的权利归属困境</w:t>
      </w:r>
      <w:bookmarkEnd w:id="121"/>
      <w:bookmarkEnd w:id="122"/>
    </w:p>
    <w:p w14:paraId="7EE90D71">
      <w:pPr>
        <w:pStyle w:val="4"/>
        <w:bidi w:val="0"/>
        <w:rPr>
          <w:rFonts w:hint="default"/>
        </w:rPr>
      </w:pPr>
      <w:bookmarkStart w:id="123" w:name="_Toc27297"/>
      <w:bookmarkStart w:id="124" w:name="_Toc27495"/>
      <w:r>
        <w:rPr>
          <w:rFonts w:hint="default"/>
        </w:rPr>
        <w:t>3.2.1 复合型数字资产中继承范围难以界定</w:t>
      </w:r>
      <w:bookmarkEnd w:id="123"/>
      <w:bookmarkEnd w:id="124"/>
    </w:p>
    <w:p w14:paraId="144656E3">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网络虚拟财产继承范围怎么界定，是数字时代遗产继承制度构建的核心难题，从法律解释学的视角去看</w:t>
      </w:r>
      <w:r>
        <w:rPr>
          <w:rFonts w:hint="default" w:ascii="Times New Roman" w:hAnsi="Times New Roman" w:eastAsia="宋体" w:cs="Times New Roman"/>
          <w:color w:val="auto"/>
          <w:sz w:val="24"/>
          <w:szCs w:val="24"/>
          <w:vertAlign w:val="superscript"/>
        </w:rPr>
        <w:fldChar w:fldCharType="begin"/>
      </w:r>
      <w:r>
        <w:rPr>
          <w:rFonts w:hint="default" w:ascii="Times New Roman" w:hAnsi="Times New Roman" w:eastAsia="宋体" w:cs="Times New Roman"/>
          <w:color w:val="auto"/>
          <w:sz w:val="24"/>
          <w:szCs w:val="24"/>
          <w:vertAlign w:val="superscript"/>
        </w:rPr>
        <w:instrText xml:space="preserve"> REF _Ref18284 \r \h </w:instrText>
      </w:r>
      <w:r>
        <w:rPr>
          <w:rFonts w:hint="default" w:ascii="Times New Roman" w:hAnsi="Times New Roman" w:eastAsia="宋体" w:cs="Times New Roman"/>
          <w:color w:val="auto"/>
          <w:sz w:val="24"/>
          <w:szCs w:val="24"/>
          <w:vertAlign w:val="superscript"/>
        </w:rPr>
        <w:fldChar w:fldCharType="separate"/>
      </w:r>
      <w:r>
        <w:rPr>
          <w:rFonts w:hint="default" w:ascii="Times New Roman" w:hAnsi="Times New Roman" w:eastAsia="宋体" w:cs="Times New Roman"/>
          <w:color w:val="auto"/>
          <w:sz w:val="24"/>
          <w:szCs w:val="24"/>
          <w:vertAlign w:val="superscript"/>
        </w:rPr>
        <w:t>[19]</w:t>
      </w:r>
      <w:r>
        <w:rPr>
          <w:rFonts w:hint="default" w:ascii="Times New Roman" w:hAnsi="Times New Roman" w:eastAsia="宋体" w:cs="Times New Roman"/>
          <w:color w:val="auto"/>
          <w:sz w:val="24"/>
          <w:szCs w:val="24"/>
          <w:vertAlign w:val="superscript"/>
        </w:rPr>
        <w:fldChar w:fldCharType="end"/>
      </w:r>
      <w:r>
        <w:rPr>
          <w:rFonts w:hint="default" w:ascii="Times New Roman" w:hAnsi="Times New Roman" w:eastAsia="宋体" w:cs="Times New Roman"/>
          <w:color w:val="auto"/>
          <w:sz w:val="24"/>
          <w:szCs w:val="24"/>
        </w:rPr>
        <w:t>，《民法典》第1122条针对遗产的概括性规定，为虚拟财产纳入继承范畴提供了制度衔接，但具体界限还需进一步考量，当下理论界与实务界所面临的困境主要有三个维度体现：虚拟财产类型学的划分存在方法层面的缺陷，传统分类标准没法适应技术迭代产生的新型财产形态，像加密货币、元宇宙资产这类新兴领域不断地挑战现有的分类体系。</w:t>
      </w:r>
    </w:p>
    <w:p w14:paraId="19A4D0CC">
      <w:pPr>
        <w:pStyle w:val="4"/>
        <w:bidi w:val="0"/>
        <w:rPr>
          <w:rFonts w:hint="default"/>
        </w:rPr>
      </w:pPr>
      <w:bookmarkStart w:id="125" w:name="_Toc2101"/>
      <w:bookmarkStart w:id="126" w:name="_Toc11326"/>
      <w:r>
        <w:rPr>
          <w:rFonts w:hint="default"/>
        </w:rPr>
        <w:t>3.2.2 用户与运营商之间存在权属争议</w:t>
      </w:r>
      <w:bookmarkEnd w:id="125"/>
      <w:bookmarkEnd w:id="126"/>
    </w:p>
    <w:p w14:paraId="10870135">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网络虚拟财产的存在依赖特定的网络空间，其占有、使用和处分大多需借助运营商的技术支持才可以达成，我国现阶段的法律体系，其中有《民法典》，依旧未对虚拟财产的权益归属作出清晰界定，该立法空白造成司法实践中呈现出不同的裁判倾向，部分案件倾向去保护用户的合法权益，而其他一些案件则更看重运营商服务协议的约束效力，这种裁判标准未能统一，不仅对司法权威起到了削弱作用，也造成用户跟运营商之间的纠纷难以公正、高效地化解。</w:t>
      </w:r>
    </w:p>
    <w:p w14:paraId="44AA594B">
      <w:pPr>
        <w:pStyle w:val="3"/>
        <w:bidi w:val="0"/>
        <w:rPr>
          <w:rFonts w:hint="default"/>
        </w:rPr>
      </w:pPr>
      <w:bookmarkStart w:id="127" w:name="_Toc2780"/>
      <w:bookmarkStart w:id="128" w:name="_Toc15897"/>
      <w:r>
        <w:rPr>
          <w:rFonts w:hint="default"/>
        </w:rPr>
        <w:t>3.3 网络虚拟财产继承中价值评估机制的缺失</w:t>
      </w:r>
      <w:bookmarkEnd w:id="127"/>
      <w:bookmarkEnd w:id="128"/>
    </w:p>
    <w:p w14:paraId="0189FC8F">
      <w:pPr>
        <w:pStyle w:val="4"/>
        <w:bidi w:val="0"/>
        <w:rPr>
          <w:rFonts w:hint="default"/>
        </w:rPr>
      </w:pPr>
      <w:bookmarkStart w:id="129" w:name="_Toc4901"/>
      <w:bookmarkStart w:id="130" w:name="_Toc3549"/>
      <w:r>
        <w:rPr>
          <w:rFonts w:hint="default"/>
        </w:rPr>
        <w:t>3.3.1 缺乏权威评估标准导致遗产分割困难</w:t>
      </w:r>
      <w:bookmarkEnd w:id="129"/>
      <w:bookmarkEnd w:id="130"/>
    </w:p>
    <w:p w14:paraId="26BEF9AD">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司法实践面临的核心难题是网络虚拟财产价值认定，评估标准的缺失让裁判结果呈现碎片化的态势，法院处理虚拟财产纠纷的审理情况可分四类：充值金额折算途径、市场交易价参考途径、借助运营商数据途径以及回避处理途径，每种方法皆存在固有的缺陷，不太容易形成稳定、客观的裁判依据。</w:t>
      </w:r>
    </w:p>
    <w:p w14:paraId="3CEABA0E">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市场交易价参考借助二手交易平台的成交价格去确定虚拟财产价值，虽然该方法可以体现市场供需态势，然而其适用面临着三重阻碍：一是交易平台的报价起伏很大，同一装备在不同时间阶段的价差可达数倍；二是其中掺杂着黑市交易，虚假报价以及欺诈举动对价格真实性产生干扰；三是部分虚拟物品（如限定皮肤、绝版道具）因稀缺性造成了垄断价格，难以展现公平合理的市场价值，更核心的是，充值金额与市场交易价经常大幅背离，用户也许以千元充值拿到某道具，而市场实际所达成的交易价仅百元，此时法院该采信怎样的标准，现有的裁判文书表明，不同法院针对此情形存在显著分歧</w:t>
      </w:r>
      <w:r>
        <w:rPr>
          <w:rFonts w:hint="default" w:ascii="Times New Roman" w:hAnsi="Times New Roman" w:eastAsia="宋体" w:cs="Times New Roman"/>
          <w:color w:val="auto"/>
          <w:sz w:val="24"/>
          <w:szCs w:val="24"/>
          <w:vertAlign w:val="superscript"/>
        </w:rPr>
        <w:fldChar w:fldCharType="begin"/>
      </w:r>
      <w:r>
        <w:rPr>
          <w:rFonts w:hint="default" w:ascii="Times New Roman" w:hAnsi="Times New Roman" w:eastAsia="宋体" w:cs="Times New Roman"/>
          <w:color w:val="auto"/>
          <w:sz w:val="24"/>
          <w:szCs w:val="24"/>
          <w:vertAlign w:val="superscript"/>
        </w:rPr>
        <w:instrText xml:space="preserve"> REF _Ref18614 \r \h </w:instrText>
      </w:r>
      <w:r>
        <w:rPr>
          <w:rFonts w:hint="default" w:ascii="Times New Roman" w:hAnsi="Times New Roman" w:eastAsia="宋体" w:cs="Times New Roman"/>
          <w:color w:val="auto"/>
          <w:sz w:val="24"/>
          <w:szCs w:val="24"/>
          <w:vertAlign w:val="superscript"/>
        </w:rPr>
        <w:fldChar w:fldCharType="separate"/>
      </w:r>
      <w:r>
        <w:rPr>
          <w:rFonts w:hint="default" w:ascii="Times New Roman" w:hAnsi="Times New Roman" w:eastAsia="宋体" w:cs="Times New Roman"/>
          <w:color w:val="auto"/>
          <w:sz w:val="24"/>
          <w:szCs w:val="24"/>
          <w:vertAlign w:val="superscript"/>
        </w:rPr>
        <w:t>[20]</w:t>
      </w:r>
      <w:r>
        <w:rPr>
          <w:rFonts w:hint="default" w:ascii="Times New Roman" w:hAnsi="Times New Roman" w:eastAsia="宋体" w:cs="Times New Roman"/>
          <w:color w:val="auto"/>
          <w:sz w:val="24"/>
          <w:szCs w:val="24"/>
          <w:vertAlign w:val="superscript"/>
        </w:rPr>
        <w:fldChar w:fldCharType="end"/>
      </w:r>
      <w:r>
        <w:rPr>
          <w:rFonts w:hint="default" w:ascii="Times New Roman" w:hAnsi="Times New Roman" w:eastAsia="宋体" w:cs="Times New Roman"/>
          <w:color w:val="auto"/>
          <w:sz w:val="24"/>
          <w:szCs w:val="24"/>
        </w:rPr>
        <w:t>。</w:t>
      </w:r>
    </w:p>
    <w:p w14:paraId="0482B388">
      <w:pPr>
        <w:pStyle w:val="4"/>
        <w:bidi w:val="0"/>
        <w:rPr>
          <w:rFonts w:hint="default"/>
        </w:rPr>
      </w:pPr>
      <w:bookmarkStart w:id="131" w:name="_Toc12866"/>
      <w:bookmarkStart w:id="132" w:name="_Toc14141"/>
      <w:r>
        <w:rPr>
          <w:rFonts w:hint="default"/>
        </w:rPr>
        <w:t>3.3.2 评估方法单一难以反映虚拟财产真实价值</w:t>
      </w:r>
      <w:bookmarkEnd w:id="131"/>
      <w:bookmarkEnd w:id="132"/>
    </w:p>
    <w:p w14:paraId="1A835B6D">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构建网络虚拟财产价值评估体系是数字时代实施继承制度的关键环节，现阶段我国虚拟财产价值认定碰到三重困境：评估标准的缺失造成司法裁判尺度的不一，有按照充值金额给予补偿的判例，同样存在以价值无法量化作理由驳回诉求的相反裁决，评估主体的专业性欠佳，运营商主导定价时存在利益上的矛盾冲突，用户自主给出的报价缺乏公信力，市场交易价格被</w:t>
      </w:r>
      <w:r>
        <w:rPr>
          <w:rFonts w:hint="eastAsia" w:ascii="Times New Roman" w:hAnsi="Times New Roman" w:eastAsia="宋体" w:cs="Times New Roman"/>
          <w:color w:val="auto"/>
          <w:sz w:val="24"/>
          <w:szCs w:val="24"/>
          <w:lang w:eastAsia="zh-CN"/>
        </w:rPr>
        <w:t>“掉落率”</w:t>
      </w:r>
      <w:r>
        <w:rPr>
          <w:rFonts w:hint="default" w:ascii="Times New Roman" w:hAnsi="Times New Roman" w:eastAsia="宋体" w:cs="Times New Roman"/>
          <w:color w:val="auto"/>
          <w:sz w:val="24"/>
          <w:szCs w:val="24"/>
        </w:rPr>
        <w:t>等游戏机制影响，波动情况极为剧烈，评估对象存在多维价值的属性</w:t>
      </w:r>
      <w:r>
        <w:rPr>
          <w:rFonts w:hint="eastAsia" w:ascii="Times New Roman" w:hAnsi="Times New Roman" w:eastAsia="宋体" w:cs="Times New Roman"/>
          <w:color w:val="auto"/>
          <w:sz w:val="24"/>
          <w:szCs w:val="24"/>
          <w:vertAlign w:val="superscript"/>
          <w:lang w:val="en-US" w:eastAsia="zh-CN"/>
        </w:rPr>
        <w:t>[21]</w:t>
      </w:r>
      <w:r>
        <w:rPr>
          <w:rFonts w:hint="default" w:ascii="Times New Roman" w:hAnsi="Times New Roman" w:eastAsia="宋体" w:cs="Times New Roman"/>
          <w:color w:val="auto"/>
          <w:sz w:val="24"/>
          <w:szCs w:val="24"/>
        </w:rPr>
        <w:t>。以微信公众号当作示例，其价值构成里面包含了直接的经济投入内容，如运营期间的成本，还囊括了衍生价值，粉丝形成的经济收益，还牵涉难以用数据量化的情感寄托，没有一个确切的评估标准导致虚拟财产的真实价值很难被判定。</w:t>
      </w:r>
    </w:p>
    <w:p w14:paraId="5099755D">
      <w:pPr>
        <w:pStyle w:val="3"/>
        <w:bidi w:val="0"/>
        <w:rPr>
          <w:rFonts w:hint="default"/>
        </w:rPr>
      </w:pPr>
      <w:bookmarkStart w:id="133" w:name="_Toc24306"/>
      <w:bookmarkStart w:id="134" w:name="_Toc2833"/>
      <w:r>
        <w:rPr>
          <w:rFonts w:hint="default"/>
        </w:rPr>
        <w:t>3.4 网络虚拟财产继承中举证责任分配不明</w:t>
      </w:r>
      <w:bookmarkEnd w:id="133"/>
      <w:bookmarkEnd w:id="134"/>
    </w:p>
    <w:p w14:paraId="2C6212BB">
      <w:pPr>
        <w:pStyle w:val="4"/>
        <w:bidi w:val="0"/>
        <w:rPr>
          <w:rFonts w:hint="default"/>
        </w:rPr>
      </w:pPr>
      <w:bookmarkStart w:id="135" w:name="_Toc10862"/>
      <w:bookmarkStart w:id="136" w:name="_Toc19575"/>
      <w:r>
        <w:rPr>
          <w:rFonts w:hint="default"/>
        </w:rPr>
        <w:t>3.4.1 继承人与运营商之间的地位不平等</w:t>
      </w:r>
      <w:bookmarkEnd w:id="135"/>
      <w:bookmarkEnd w:id="136"/>
    </w:p>
    <w:p w14:paraId="6B880E50">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网络虚拟财产继承纠纷凸显出鲜明的数字时代特性，其权利的实现过程完全依靠互联网技术架构</w:t>
      </w:r>
      <w:r>
        <w:rPr>
          <w:rFonts w:hint="eastAsia" w:ascii="Times New Roman" w:hAnsi="Times New Roman" w:eastAsia="宋体" w:cs="Times New Roman"/>
          <w:color w:val="auto"/>
          <w:sz w:val="24"/>
          <w:szCs w:val="24"/>
          <w:vertAlign w:val="superscript"/>
          <w:lang w:val="en-US" w:eastAsia="zh-CN"/>
        </w:rPr>
        <w:t>[22]</w:t>
      </w:r>
      <w:r>
        <w:rPr>
          <w:rFonts w:hint="default" w:ascii="Times New Roman" w:hAnsi="Times New Roman" w:eastAsia="宋体" w:cs="Times New Roman"/>
          <w:color w:val="auto"/>
          <w:sz w:val="24"/>
          <w:szCs w:val="24"/>
        </w:rPr>
        <w:t>，这种特殊性让继承人与运营商之间形成较为明显的力量失衡局面，在虚拟财产继承对应的法律关系里面，技术依赖性成了最根本的限制因素，继承人只有通过运营商掌控的平台系统，才可完成身份验证、权属确认和价值评估等关键步骤，而运营商考虑到商业利益或技术限制，一般消极处理继承请求，该结构性矛盾让继承权的实现面临系统性的阻碍。</w:t>
      </w:r>
    </w:p>
    <w:p w14:paraId="6B06CD86">
      <w:pPr>
        <w:pStyle w:val="4"/>
        <w:bidi w:val="0"/>
        <w:rPr>
          <w:rFonts w:hint="default"/>
        </w:rPr>
      </w:pPr>
      <w:bookmarkStart w:id="137" w:name="_Toc10811"/>
      <w:bookmarkStart w:id="138" w:name="_Toc9627"/>
      <w:r>
        <w:rPr>
          <w:rFonts w:hint="default"/>
        </w:rPr>
        <w:t>3.4.2 网络虚拟财产举证的特殊性</w:t>
      </w:r>
      <w:bookmarkEnd w:id="137"/>
      <w:bookmarkEnd w:id="138"/>
    </w:p>
    <w:p w14:paraId="071EBED5">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就传统侵权的相关案件而言，我国一般采用</w:t>
      </w:r>
      <w:r>
        <w:rPr>
          <w:rFonts w:hint="eastAsia" w:ascii="Times New Roman" w:hAnsi="Times New Roman" w:eastAsia="宋体" w:cs="Times New Roman"/>
          <w:color w:val="auto"/>
          <w:sz w:val="24"/>
          <w:szCs w:val="24"/>
          <w:lang w:eastAsia="zh-CN"/>
        </w:rPr>
        <w:t>“谁主张，谁举证”</w:t>
      </w:r>
      <w:r>
        <w:rPr>
          <w:rFonts w:hint="default" w:ascii="Times New Roman" w:hAnsi="Times New Roman" w:eastAsia="宋体" w:cs="Times New Roman"/>
          <w:color w:val="auto"/>
          <w:sz w:val="24"/>
          <w:szCs w:val="24"/>
        </w:rPr>
        <w:t>的举证责任分配模式，该规则在涉及网络虚拟财产的争议中面临特别挑战，虚拟财产贴合于互联网平台的特殊特点，使运营商在技术控制以及数据管理上有天然优势，作为游戏或网络服务的给予者，运营商不仅把控着全部的游戏数据与系统代码，还具备采用技术手段限制用户取证的能力，这种存在不对等的技术地位，致使简单采用一般举证原则可能形成实质性的不公平情形。</w:t>
      </w:r>
    </w:p>
    <w:p w14:paraId="0F3D54C0">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举证责任分配的模式直接影响当事人诉讼的输赢，进而影响司法公正这一目标的实现，当涉及虚拟财产纠纷的时候，运营商的技术优势和信息垄断地位，应作为举证责任分配时的重要考量内容，要求运营商对其管理行为的合法性给出证明，既合乎公平原则，也能督促企业把内部管理机制完善起来。未来立法应当针对虚拟财产纠纷的属性，制订更具实际操作意义的举证责任规则，在保障用户合法权益之际，维护网络服务市场的平稳秩序，在司法实际案例里，法院应充分顾及当事人在技术能力与信息获取上的不匹配情况，依靠灵活运用举证责任分配办法，实现单个案子中的实质正义。</w:t>
      </w:r>
    </w:p>
    <w:p w14:paraId="61546817">
      <w:pPr>
        <w:pStyle w:val="3"/>
        <w:bidi w:val="0"/>
        <w:rPr>
          <w:rFonts w:hint="default"/>
        </w:rPr>
      </w:pPr>
      <w:bookmarkStart w:id="139" w:name="_Toc17876"/>
      <w:bookmarkStart w:id="140" w:name="_Toc32711"/>
      <w:r>
        <w:rPr>
          <w:rFonts w:hint="default"/>
        </w:rPr>
        <w:t>3.5 本章小结</w:t>
      </w:r>
      <w:bookmarkEnd w:id="139"/>
      <w:bookmarkEnd w:id="140"/>
    </w:p>
    <w:p w14:paraId="51284FD3">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sectPr>
          <w:headerReference r:id="rId16" w:type="default"/>
          <w:footerReference r:id="rId18" w:type="default"/>
          <w:headerReference r:id="rId17" w:type="even"/>
          <w:footnotePr>
            <w:numFmt w:val="decimalEnclosedCircleChinese"/>
            <w:numRestart w:val="eachPage"/>
          </w:footnotePr>
          <w:pgSz w:w="11905" w:h="16838"/>
          <w:pgMar w:top="1587" w:right="1417" w:bottom="1587" w:left="1417" w:header="1134" w:footer="1134" w:gutter="0"/>
          <w:pgBorders>
            <w:top w:val="none" w:sz="0" w:space="0"/>
            <w:left w:val="none" w:sz="0" w:space="0"/>
            <w:bottom w:val="none" w:sz="0" w:space="0"/>
            <w:right w:val="none" w:sz="0" w:space="0"/>
          </w:pgBorders>
          <w:pgNumType w:fmt="decimal"/>
          <w:cols w:space="0" w:num="1"/>
          <w:rtlGutter w:val="0"/>
          <w:docGrid w:linePitch="312" w:charSpace="0"/>
        </w:sectPr>
      </w:pPr>
      <w:r>
        <w:rPr>
          <w:rFonts w:hint="default" w:ascii="Times New Roman" w:hAnsi="Times New Roman" w:eastAsia="宋体" w:cs="Times New Roman"/>
          <w:color w:val="auto"/>
          <w:sz w:val="24"/>
          <w:szCs w:val="24"/>
        </w:rPr>
        <w:t>当前我国虚拟财产保护面临的核心困境是：法律属性不明确、权属关系不明确、价值评估机制缺失以及举证责任分配不明确。这些问题的根源在于虚拟财产的特殊性：它既具有传统财产的价值性和可转让性特征，又依赖于特定的技术环境和平台规则。这种双重属性使得传统财产保护规则难以直接适用，需要构建适应数字经济发展需求的新型保护机制。</w:t>
      </w:r>
    </w:p>
    <w:p w14:paraId="0DA21DD6">
      <w:pPr>
        <w:pStyle w:val="2"/>
        <w:bidi w:val="0"/>
        <w:rPr>
          <w:rFonts w:hint="default"/>
        </w:rPr>
      </w:pPr>
      <w:bookmarkStart w:id="141" w:name="_Toc17402"/>
      <w:bookmarkStart w:id="142" w:name="_Toc8300"/>
      <w:r>
        <w:rPr>
          <w:rFonts w:hint="default"/>
        </w:rPr>
        <w:t>第4章 网络虚拟财产继承的域外经验研究</w:t>
      </w:r>
      <w:bookmarkEnd w:id="141"/>
      <w:bookmarkEnd w:id="142"/>
    </w:p>
    <w:p w14:paraId="5E3953FA">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他山之石，可以攻玉。对于此问题的研究不仅仅要着眼于国内实际，还要具有国际事业，域外国家对于这个问题的研究比较早，在制度上也更为完善，对我国制度完善可以提供很好的借鉴。</w:t>
      </w:r>
    </w:p>
    <w:p w14:paraId="6B7E7AB8">
      <w:pPr>
        <w:pStyle w:val="3"/>
        <w:bidi w:val="0"/>
        <w:rPr>
          <w:rFonts w:hint="default"/>
        </w:rPr>
      </w:pPr>
      <w:bookmarkStart w:id="143" w:name="_Toc20781"/>
      <w:bookmarkStart w:id="144" w:name="_Toc12519"/>
      <w:r>
        <w:rPr>
          <w:rFonts w:hint="default"/>
        </w:rPr>
        <w:t>4.1 域外网络虚拟财产继承的经验</w:t>
      </w:r>
      <w:bookmarkEnd w:id="143"/>
      <w:bookmarkEnd w:id="144"/>
    </w:p>
    <w:p w14:paraId="479AD75E">
      <w:pPr>
        <w:pStyle w:val="4"/>
        <w:bidi w:val="0"/>
        <w:rPr>
          <w:rFonts w:hint="default"/>
        </w:rPr>
      </w:pPr>
      <w:bookmarkStart w:id="145" w:name="_Toc25976"/>
      <w:bookmarkStart w:id="146" w:name="_Toc26183"/>
      <w:r>
        <w:rPr>
          <w:rFonts w:hint="default"/>
        </w:rPr>
        <w:t>4.1.1 联合国《保护数字遗产宪章》的考察研究</w:t>
      </w:r>
      <w:bookmarkEnd w:id="145"/>
      <w:bookmarkEnd w:id="146"/>
    </w:p>
    <w:p w14:paraId="7AC4DA76">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联合国教科文组织颁布的《保护数字遗产宪章》创新性地构建起全球数字遗产保护的基本框架，为各国制定相关保护政策提供了关键参考指引，宪章的核心价值是承认数字遗产同时兼具经济价值与文化价值，并把它定位成人类未来发展的重要基础资源。</w:t>
      </w:r>
    </w:p>
    <w:p w14:paraId="2137DD60">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宪章从三个维度搭建了保护机制：在价值认定环节，清晰禁止对具有思想价值和审美意义的数字内容实施非法删除或破坏；在保障做法方面，要求政府对重要数字遗产载体给予资金扶持，保障其实现可持续保存；就实施的主体而言，指明图书馆、档案馆等公共文化机构应承担法定保管使命。从概念定义的层面，宪章把数字遗产定义为依靠数字化技术生成或转化的各类信息资源，这些资源在文化传承、知识传播等范畴拥有独特价值，为合理保护这些资源，宪章建议成员国创建配套的法律制度以及技术标准，同时安排合理的公众访问手段。</w:t>
      </w:r>
    </w:p>
    <w:p w14:paraId="6507E2D6">
      <w:pPr>
        <w:pStyle w:val="4"/>
        <w:bidi w:val="0"/>
        <w:rPr>
          <w:rFonts w:hint="default"/>
        </w:rPr>
      </w:pPr>
      <w:bookmarkStart w:id="147" w:name="_Toc21140"/>
      <w:bookmarkStart w:id="148" w:name="_Toc367"/>
      <w:r>
        <w:rPr>
          <w:rFonts w:hint="default"/>
        </w:rPr>
        <w:t>4.1.2 美国法的相关规定</w:t>
      </w:r>
      <w:bookmarkEnd w:id="147"/>
      <w:bookmarkEnd w:id="148"/>
    </w:p>
    <w:p w14:paraId="0A6E6736">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从美国司法实践的角度看，虚拟财产一般被纳入传统物权范畴开展规范，看作动产或个人专属范畴加以法律保护，且明确承认其存在可继承的属性，2010年俄克拉荷马州率先开启遗产继承相关法律的修订，正式把虚拟财产纳入遗嘱执行范畴，此立法创新是要引导公民生前合理安排数字资产处置。尽管此规定可能跟网络服务平台现有的协议出现冲突，但立法者更在意提升社会对数字资产价值的觉察，其保护所涉及的范围有电子邮箱、社交媒体账号及网络发布内容等各类数字遗产，就用户生前没有进行明确安排的虚拟财产，法院将按照实际情况裁定合法的继承人。即便用户已将数字遗产处置安排妥当，具体执行依旧需区分不同情形：也能按用户的遗愿把账户变为纪念账户，或允许获得授权的继承人继续用，亦或者按照用户的指令注销账户，印第安纳、康涅狄格、罗德岛等州已就电子邮件继承这一问题制定专门法规。</w:t>
      </w:r>
    </w:p>
    <w:p w14:paraId="56A71583">
      <w:pPr>
        <w:pStyle w:val="4"/>
        <w:bidi w:val="0"/>
        <w:rPr>
          <w:rFonts w:hint="default"/>
        </w:rPr>
      </w:pPr>
      <w:bookmarkStart w:id="149" w:name="_Toc15738"/>
      <w:bookmarkStart w:id="150" w:name="_Toc26064"/>
      <w:r>
        <w:rPr>
          <w:rFonts w:hint="default"/>
        </w:rPr>
        <w:t>4.1.3 德国法的相关规定</w:t>
      </w:r>
      <w:bookmarkEnd w:id="149"/>
      <w:bookmarkEnd w:id="150"/>
    </w:p>
    <w:p w14:paraId="76A49AEE">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德国与美国类似，在虚拟财产的法律保护方面采取了较为明确的立场，将其视同传统意义上的</w:t>
      </w:r>
      <w:r>
        <w:rPr>
          <w:rFonts w:hint="eastAsia" w:ascii="Times New Roman" w:hAnsi="Times New Roman" w:eastAsia="宋体" w:cs="Times New Roman"/>
          <w:color w:val="auto"/>
          <w:sz w:val="24"/>
          <w:szCs w:val="24"/>
          <w:lang w:eastAsia="zh-CN"/>
        </w:rPr>
        <w:t>“物”</w:t>
      </w:r>
      <w:r>
        <w:rPr>
          <w:rFonts w:hint="default" w:ascii="Times New Roman" w:hAnsi="Times New Roman" w:eastAsia="宋体" w:cs="Times New Roman"/>
          <w:color w:val="auto"/>
          <w:sz w:val="24"/>
          <w:szCs w:val="24"/>
        </w:rPr>
        <w:t>而纳入物权保护范畴。根据德国现行法律体系，虚拟财产在继承过程中与传统财产同样处理，即纳入遗产总额进行统一管理，并适用遗产税的相关规定。</w:t>
      </w:r>
    </w:p>
    <w:p w14:paraId="23B36A87">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在具体继承程序中，死者的虚拟财产需经过专业评估机构认定其是否具有实际经济价值。一旦确认具备经济价值，该部分虚拟财产即被认定为合法遗产的一部分，可由合法继承人依法继承。值得注意的是，德国法律特别规定，自死者离世之日起，其虚拟财产的法律保护期限为十年。在这十年间，继承人有权要求平台配合完成账号接管、数据导出或资产转移等操作，相关权利受到《德国民法典》和遗产税法的保障。</w:t>
      </w:r>
    </w:p>
    <w:p w14:paraId="0557A90A">
      <w:pPr>
        <w:pStyle w:val="3"/>
        <w:bidi w:val="0"/>
        <w:rPr>
          <w:rFonts w:hint="default"/>
        </w:rPr>
      </w:pPr>
      <w:bookmarkStart w:id="151" w:name="_Toc25272"/>
      <w:bookmarkStart w:id="152" w:name="_Toc21222"/>
      <w:r>
        <w:rPr>
          <w:rFonts w:hint="default"/>
        </w:rPr>
        <w:t>4.2 域外网络虚拟财产继承制度的启示</w:t>
      </w:r>
      <w:bookmarkEnd w:id="151"/>
      <w:bookmarkEnd w:id="152"/>
    </w:p>
    <w:p w14:paraId="407FAF20">
      <w:pPr>
        <w:pStyle w:val="4"/>
        <w:bidi w:val="0"/>
        <w:rPr>
          <w:rFonts w:hint="default"/>
        </w:rPr>
      </w:pPr>
      <w:bookmarkStart w:id="153" w:name="_Toc2898"/>
      <w:bookmarkStart w:id="154" w:name="_Toc18871"/>
      <w:r>
        <w:rPr>
          <w:rFonts w:hint="default"/>
        </w:rPr>
        <w:t>4.2.1 明确网络虚拟财产的可继承性</w:t>
      </w:r>
      <w:bookmarkEnd w:id="153"/>
      <w:bookmarkEnd w:id="154"/>
    </w:p>
    <w:p w14:paraId="61256A35">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美国采用判例法率先确立了数字账户有可继承性，处于立法的层面，除开华盛顿等三个州不说，全美各个州均已制定专门法律条文，明确承认网络虚拟财产的继承资格，其制度的创新点主要体现在：确立三级优先访问权体系，有效攻克了继承顺位的问题；看重被继承人真实意愿的具体表达；采用技术手段攻克虚拟财产继承的操作难关。从理论角度看，学者提出名为</w:t>
      </w:r>
      <w:r>
        <w:rPr>
          <w:rFonts w:hint="eastAsia" w:ascii="Times New Roman" w:hAnsi="Times New Roman" w:eastAsia="宋体" w:cs="Times New Roman"/>
          <w:color w:val="auto"/>
          <w:sz w:val="24"/>
          <w:szCs w:val="24"/>
          <w:lang w:eastAsia="zh-CN"/>
        </w:rPr>
        <w:t>“数据附着理论”</w:t>
      </w:r>
      <w:r>
        <w:rPr>
          <w:rFonts w:hint="default" w:ascii="Times New Roman" w:hAnsi="Times New Roman" w:eastAsia="宋体" w:cs="Times New Roman"/>
          <w:color w:val="auto"/>
          <w:sz w:val="24"/>
          <w:szCs w:val="24"/>
        </w:rPr>
        <w:t>的理论，宣称数据继承要以既有的权利为支撑，从立法技术角度看，德国采用的是分类保护模式：把网络虚拟财产分为受现有权利保护的财产以及未受保护的财产两类，就前者而言，直接适用对应的权利规范；对于后者而言，根据数据存储形式去确定权利归属，值得留意的是，《德国民法典》清楚地把在线数据归入可继承遗产范畴。</w:t>
      </w:r>
    </w:p>
    <w:p w14:paraId="449A2B08">
      <w:pPr>
        <w:pStyle w:val="4"/>
        <w:bidi w:val="0"/>
        <w:rPr>
          <w:rFonts w:hint="default"/>
        </w:rPr>
      </w:pPr>
      <w:bookmarkStart w:id="155" w:name="_Toc21435"/>
      <w:bookmarkStart w:id="156" w:name="_Toc6965"/>
      <w:r>
        <w:rPr>
          <w:rFonts w:hint="default"/>
        </w:rPr>
        <w:t>4.2.2 设立网络虚拟财产价值评估机构</w:t>
      </w:r>
      <w:bookmarkEnd w:id="155"/>
      <w:bookmarkEnd w:id="156"/>
    </w:p>
    <w:p w14:paraId="364D6181">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在推进网络虚拟财产继承制度搭建的过程里，创建价值评估机制是不可或缺的重要阶段，继承程序启动开启后，客观公正地对网络虚拟财产进行价值评估，直接关系着继承人权益的合理分配，尤其是在多名继承人存在的复杂案件里面，法院得凭借专业评估结果来明确各继承人应获份额并作出最后的裁决，现阶段网络用户或运营商自行评估的做法显露出明显缺陷，其评估结果一般难以得到各方的赞同，造成继承纠纷无法获得有效处理。</w:t>
      </w:r>
    </w:p>
    <w:p w14:paraId="6249B984">
      <w:pPr>
        <w:pStyle w:val="3"/>
        <w:bidi w:val="0"/>
        <w:rPr>
          <w:rFonts w:hint="default"/>
        </w:rPr>
      </w:pPr>
      <w:bookmarkStart w:id="157" w:name="_Toc5735"/>
      <w:bookmarkStart w:id="158" w:name="_Toc6505"/>
      <w:r>
        <w:rPr>
          <w:rFonts w:hint="default"/>
        </w:rPr>
        <w:t>4.3 本章小结</w:t>
      </w:r>
      <w:bookmarkEnd w:id="157"/>
      <w:bookmarkEnd w:id="158"/>
    </w:p>
    <w:p w14:paraId="0471D3BA">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cs="Times New Roman"/>
          <w:color w:val="auto"/>
        </w:rPr>
        <w:sectPr>
          <w:headerReference r:id="rId19" w:type="default"/>
          <w:headerReference r:id="rId20" w:type="even"/>
          <w:footnotePr>
            <w:numFmt w:val="decimalEnclosedCircleChinese"/>
            <w:numRestart w:val="eachPage"/>
          </w:footnotePr>
          <w:pgSz w:w="11905" w:h="16838"/>
          <w:pgMar w:top="1587" w:right="1417" w:bottom="1587" w:left="1417" w:header="1134" w:footer="1134" w:gutter="0"/>
          <w:pgBorders>
            <w:top w:val="none" w:sz="0" w:space="0"/>
            <w:left w:val="none" w:sz="0" w:space="0"/>
            <w:bottom w:val="none" w:sz="0" w:space="0"/>
            <w:right w:val="none" w:sz="0" w:space="0"/>
          </w:pgBorders>
          <w:pgNumType w:fmt="decimal"/>
          <w:cols w:space="0" w:num="1"/>
          <w:rtlGutter w:val="0"/>
          <w:docGrid w:linePitch="312" w:charSpace="0"/>
        </w:sectPr>
      </w:pPr>
      <w:r>
        <w:rPr>
          <w:rFonts w:hint="default" w:ascii="Times New Roman" w:hAnsi="Times New Roman" w:eastAsia="宋体" w:cs="Times New Roman"/>
          <w:color w:val="auto"/>
          <w:sz w:val="24"/>
          <w:szCs w:val="24"/>
        </w:rPr>
        <w:t>世界各国在虚拟财产继承方面的立法实践呈现出明显的差异化特征，这些经验为我国制度建设提供了重要参考。虚拟财产继承立法需要平衡多方利益。既要保障用户的财产权益，也要尊重平台的服务协议，既要考虑继承人的合法权益，也要保护逝者的隐私尊严。我国在借鉴域外经验时，需要考虑本土适应性，找到适合本国国情的技术路线和法律方案。我国的优势在于可以综合比较各国做法，选择最适合的发展路径，最终建立起具有中国特色的虚拟财产继承制度</w:t>
      </w:r>
      <w:r>
        <w:rPr>
          <w:rFonts w:hint="default" w:ascii="Times New Roman" w:hAnsi="Times New Roman" w:eastAsia="宋体" w:cs="Times New Roman"/>
          <w:color w:val="auto"/>
          <w:kern w:val="0"/>
          <w:sz w:val="24"/>
          <w:szCs w:val="24"/>
          <w:lang w:bidi="ar"/>
        </w:rPr>
        <w:t>。</w:t>
      </w:r>
    </w:p>
    <w:p w14:paraId="559D01FA">
      <w:pPr>
        <w:pStyle w:val="2"/>
        <w:bidi w:val="0"/>
        <w:rPr>
          <w:rFonts w:hint="default"/>
        </w:rPr>
      </w:pPr>
      <w:bookmarkStart w:id="159" w:name="_Toc22366"/>
      <w:bookmarkStart w:id="160" w:name="_Toc3181"/>
      <w:r>
        <w:rPr>
          <w:rFonts w:hint="default"/>
        </w:rPr>
        <w:t>第5章 对我国实践中网络虚拟财产继承的完善</w:t>
      </w:r>
      <w:bookmarkEnd w:id="159"/>
      <w:bookmarkEnd w:id="160"/>
    </w:p>
    <w:p w14:paraId="0799F0B8">
      <w:pPr>
        <w:pStyle w:val="3"/>
        <w:bidi w:val="0"/>
        <w:rPr>
          <w:rFonts w:hint="default"/>
        </w:rPr>
      </w:pPr>
      <w:bookmarkStart w:id="161" w:name="_Toc4211"/>
      <w:bookmarkStart w:id="162" w:name="_Toc31481"/>
      <w:r>
        <w:rPr>
          <w:rFonts w:hint="default"/>
        </w:rPr>
        <w:t>5.1 明确网络虚拟财产的可继承法律地位</w:t>
      </w:r>
      <w:bookmarkEnd w:id="161"/>
      <w:bookmarkEnd w:id="162"/>
    </w:p>
    <w:p w14:paraId="44B4F6F2">
      <w:pPr>
        <w:pStyle w:val="4"/>
        <w:bidi w:val="0"/>
        <w:rPr>
          <w:rFonts w:hint="default"/>
        </w:rPr>
      </w:pPr>
      <w:bookmarkStart w:id="163" w:name="_Toc26410"/>
      <w:bookmarkStart w:id="164" w:name="_Toc11593"/>
      <w:r>
        <w:rPr>
          <w:rFonts w:hint="default"/>
        </w:rPr>
        <w:t>5.1.1 确立网络虚拟财产的物权属性</w:t>
      </w:r>
      <w:bookmarkEnd w:id="163"/>
      <w:bookmarkEnd w:id="164"/>
    </w:p>
    <w:p w14:paraId="74F18256">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有关网络虚拟财产法律属性的理论争议早已有之，前面所讲的四种学说各有长短，部分学者虽对将虚拟财产纳入物权保护体系的主张有所质疑，但从法理的发展变化和社会进步的维度看，该路径表现出相当的可行潜力。</w:t>
      </w:r>
    </w:p>
    <w:p w14:paraId="39967895">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kern w:val="0"/>
          <w:sz w:val="24"/>
          <w:szCs w:val="24"/>
          <w:lang w:bidi="ar"/>
        </w:rPr>
      </w:pPr>
      <w:r>
        <w:rPr>
          <w:rFonts w:hint="default" w:ascii="Times New Roman" w:hAnsi="Times New Roman" w:eastAsia="宋体" w:cs="Times New Roman"/>
          <w:color w:val="auto"/>
          <w:kern w:val="0"/>
          <w:sz w:val="24"/>
          <w:szCs w:val="24"/>
          <w:lang w:bidi="ar"/>
        </w:rPr>
        <w:t>质疑网络虚拟财产具有物权属性，首要考量是其是否为法律意义上的</w:t>
      </w:r>
      <w:r>
        <w:rPr>
          <w:rFonts w:hint="eastAsia" w:ascii="Times New Roman" w:hAnsi="Times New Roman" w:eastAsia="宋体" w:cs="Times New Roman"/>
          <w:color w:val="auto"/>
          <w:kern w:val="0"/>
          <w:sz w:val="24"/>
          <w:szCs w:val="24"/>
          <w:lang w:eastAsia="zh-CN" w:bidi="ar"/>
        </w:rPr>
        <w:t>“物”</w:t>
      </w:r>
      <w:r>
        <w:rPr>
          <w:rFonts w:hint="default" w:ascii="Times New Roman" w:hAnsi="Times New Roman" w:eastAsia="宋体" w:cs="Times New Roman"/>
          <w:color w:val="auto"/>
          <w:kern w:val="0"/>
          <w:sz w:val="24"/>
          <w:szCs w:val="24"/>
          <w:lang w:bidi="ar"/>
        </w:rPr>
        <w:t>，按照传统民法理论，物的概念肯定存在严格的限定，但随着社会经济稳步发展，此概念的外延正不断扩大，起初仅仅限于有体物，之后逐渐承认电、光、热等存在物的属性，直至现代法律实践里对部分权利（像土地使用权、抵押权）进行物权化处置，物的范畴始终处在持续发展的动态阶段</w:t>
      </w:r>
      <w:r>
        <w:rPr>
          <w:rFonts w:hint="default" w:ascii="Times New Roman" w:hAnsi="Times New Roman" w:eastAsia="宋体" w:cs="Times New Roman"/>
          <w:color w:val="auto"/>
          <w:kern w:val="0"/>
          <w:sz w:val="24"/>
          <w:szCs w:val="24"/>
          <w:vertAlign w:val="superscript"/>
          <w:lang w:bidi="ar"/>
        </w:rPr>
        <w:fldChar w:fldCharType="begin"/>
      </w:r>
      <w:r>
        <w:rPr>
          <w:rFonts w:hint="default" w:ascii="Times New Roman" w:hAnsi="Times New Roman" w:eastAsia="宋体" w:cs="Times New Roman"/>
          <w:color w:val="auto"/>
          <w:kern w:val="0"/>
          <w:sz w:val="24"/>
          <w:szCs w:val="24"/>
          <w:vertAlign w:val="superscript"/>
          <w:lang w:bidi="ar"/>
        </w:rPr>
        <w:instrText xml:space="preserve"> REF _Ref18846 \r \h </w:instrText>
      </w:r>
      <w:r>
        <w:rPr>
          <w:rFonts w:hint="default" w:ascii="Times New Roman" w:hAnsi="Times New Roman" w:eastAsia="宋体" w:cs="Times New Roman"/>
          <w:color w:val="auto"/>
          <w:kern w:val="0"/>
          <w:sz w:val="24"/>
          <w:szCs w:val="24"/>
          <w:vertAlign w:val="superscript"/>
          <w:lang w:bidi="ar"/>
        </w:rPr>
        <w:fldChar w:fldCharType="separate"/>
      </w:r>
      <w:r>
        <w:rPr>
          <w:rFonts w:hint="default" w:ascii="Times New Roman" w:hAnsi="Times New Roman" w:eastAsia="宋体" w:cs="Times New Roman"/>
          <w:color w:val="auto"/>
          <w:kern w:val="0"/>
          <w:sz w:val="24"/>
          <w:szCs w:val="24"/>
          <w:vertAlign w:val="superscript"/>
          <w:lang w:bidi="ar"/>
        </w:rPr>
        <w:t>[23]</w:t>
      </w:r>
      <w:r>
        <w:rPr>
          <w:rFonts w:hint="default" w:ascii="Times New Roman" w:hAnsi="Times New Roman" w:eastAsia="宋体" w:cs="Times New Roman"/>
          <w:color w:val="auto"/>
          <w:kern w:val="0"/>
          <w:sz w:val="24"/>
          <w:szCs w:val="24"/>
          <w:vertAlign w:val="superscript"/>
          <w:lang w:bidi="ar"/>
        </w:rPr>
        <w:fldChar w:fldCharType="end"/>
      </w:r>
      <w:r>
        <w:rPr>
          <w:rFonts w:hint="default" w:ascii="Times New Roman" w:hAnsi="Times New Roman" w:eastAsia="宋体" w:cs="Times New Roman"/>
          <w:color w:val="auto"/>
          <w:kern w:val="0"/>
          <w:sz w:val="24"/>
          <w:szCs w:val="24"/>
          <w:lang w:bidi="ar"/>
        </w:rPr>
        <w:t>。网络虚拟财产作为数字时代的衍生事物，尽管呈现出电子数据的样式，但全然契合</w:t>
      </w:r>
      <w:r>
        <w:rPr>
          <w:rFonts w:hint="eastAsia" w:ascii="Times New Roman" w:hAnsi="Times New Roman" w:eastAsia="宋体" w:cs="Times New Roman"/>
          <w:color w:val="auto"/>
          <w:kern w:val="0"/>
          <w:sz w:val="24"/>
          <w:szCs w:val="24"/>
          <w:lang w:eastAsia="zh-CN" w:bidi="ar"/>
        </w:rPr>
        <w:t>“存在于人体之外这一情形”“能被人力操控把握”“有使用方面的价值”</w:t>
      </w:r>
      <w:r>
        <w:rPr>
          <w:rFonts w:hint="default" w:ascii="Times New Roman" w:hAnsi="Times New Roman" w:eastAsia="宋体" w:cs="Times New Roman"/>
          <w:color w:val="auto"/>
          <w:kern w:val="0"/>
          <w:sz w:val="24"/>
          <w:szCs w:val="24"/>
          <w:lang w:bidi="ar"/>
        </w:rPr>
        <w:t>等物的基本特质，运营商对游戏数据的修改权限，恰恰说明了网络虚拟财产具有可支配性，而其在满足用户精神需求以及让商业主体盈利方面的功能，证实了其价值属性。</w:t>
      </w:r>
    </w:p>
    <w:p w14:paraId="6C728F33">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在考量把网络虚拟财产纳入物权法体系的时候，需重点衡量三个维度的适配契合度：首先是概念范畴的兼容性，网络虚拟财产完全契合</w:t>
      </w:r>
      <w:r>
        <w:rPr>
          <w:rFonts w:hint="eastAsia" w:ascii="Times New Roman" w:hAnsi="Times New Roman" w:eastAsia="宋体" w:cs="Times New Roman"/>
          <w:color w:val="auto"/>
          <w:sz w:val="24"/>
          <w:szCs w:val="24"/>
          <w:lang w:eastAsia="zh-CN"/>
        </w:rPr>
        <w:t>“物”</w:t>
      </w:r>
      <w:r>
        <w:rPr>
          <w:rFonts w:hint="default" w:ascii="Times New Roman" w:hAnsi="Times New Roman" w:eastAsia="宋体" w:cs="Times New Roman"/>
          <w:color w:val="auto"/>
          <w:sz w:val="24"/>
          <w:szCs w:val="24"/>
        </w:rPr>
        <w:t>的构成规格；其次是利益分配凸显合理性，物权模式能为相关主体给予更出色的权利保障；最后是制度影响具备可控性，网络虚拟财产的纳入不会让物权法的基本框架与原则体系发生动摇。认可网络虚拟财产的物权属性与</w:t>
      </w:r>
      <w:r>
        <w:rPr>
          <w:rFonts w:hint="eastAsia" w:ascii="Times New Roman" w:hAnsi="Times New Roman" w:eastAsia="宋体" w:cs="Times New Roman"/>
          <w:color w:val="auto"/>
          <w:sz w:val="24"/>
          <w:szCs w:val="24"/>
          <w:lang w:eastAsia="zh-CN"/>
        </w:rPr>
        <w:t>“物债二分”</w:t>
      </w:r>
      <w:r>
        <w:rPr>
          <w:rFonts w:hint="default" w:ascii="Times New Roman" w:hAnsi="Times New Roman" w:eastAsia="宋体" w:cs="Times New Roman"/>
          <w:color w:val="auto"/>
          <w:sz w:val="24"/>
          <w:szCs w:val="24"/>
        </w:rPr>
        <w:t>传统民法体系相符合，也不会对物权法定原则形成实质性的冲击，从促进数字经济发展、保障交易安全的角度去看，明确把网络虚拟财产纳入物权保护范畴，算得上当下最具实际操作的立法路径，该制度安排可有效规范运营商与用户的权利义务关系，又可为司法判定提供清晰的法律指引，最终实现网络虚拟财产法律保护体系的健全与革新。</w:t>
      </w:r>
    </w:p>
    <w:p w14:paraId="57372805">
      <w:pPr>
        <w:pStyle w:val="4"/>
        <w:bidi w:val="0"/>
        <w:rPr>
          <w:rFonts w:hint="default"/>
        </w:rPr>
      </w:pPr>
      <w:bookmarkStart w:id="165" w:name="_Toc15882"/>
      <w:bookmarkStart w:id="166" w:name="_Toc23478"/>
      <w:r>
        <w:rPr>
          <w:rFonts w:hint="default"/>
        </w:rPr>
        <w:t>5.1.2 出台审理网络虚拟财产继承纠纷的司法指导意见</w:t>
      </w:r>
      <w:bookmarkEnd w:id="165"/>
      <w:bookmarkEnd w:id="166"/>
    </w:p>
    <w:p w14:paraId="17BD420C">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在明确网络虚拟财产物权属性的基础上，为解决当前司法实践中普遍存在的</w:t>
      </w:r>
      <w:r>
        <w:rPr>
          <w:rFonts w:hint="eastAsia" w:ascii="Times New Roman" w:hAnsi="Times New Roman" w:eastAsia="宋体" w:cs="Times New Roman"/>
          <w:color w:val="auto"/>
          <w:sz w:val="24"/>
          <w:szCs w:val="24"/>
          <w:lang w:eastAsia="zh-CN"/>
        </w:rPr>
        <w:t>“同案不同判”</w:t>
      </w:r>
      <w:r>
        <w:rPr>
          <w:rFonts w:hint="default" w:ascii="Times New Roman" w:hAnsi="Times New Roman" w:eastAsia="宋体" w:cs="Times New Roman"/>
          <w:color w:val="auto"/>
          <w:sz w:val="24"/>
          <w:szCs w:val="24"/>
        </w:rPr>
        <w:t>问题，出台专门的关于审理网络虚拟财产继承纠纷案件的指导意见显得尤为重要。指导意见可以统一裁判尺度，为各级法院提供清晰、可操作的具体规则。第一</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明确继承纠纷的受理范围。指导意见应肯定网络虚拟财产的可继承性，规定当事人就具有财产价值的网络账号、虚拟货币、游戏装备等网络虚拟财产提起的继承诉讼，人民法院应当依法受理。确立</w:t>
      </w:r>
      <w:r>
        <w:rPr>
          <w:rFonts w:hint="eastAsia" w:ascii="Times New Roman" w:hAnsi="Times New Roman" w:eastAsia="宋体" w:cs="Times New Roman"/>
          <w:color w:val="auto"/>
          <w:sz w:val="24"/>
          <w:szCs w:val="24"/>
          <w:lang w:eastAsia="zh-CN"/>
        </w:rPr>
        <w:t>“尊重当事人意愿、保护合法财产权、维护网络空间秩序”</w:t>
      </w:r>
      <w:r>
        <w:rPr>
          <w:rFonts w:hint="default" w:ascii="Times New Roman" w:hAnsi="Times New Roman" w:eastAsia="宋体" w:cs="Times New Roman"/>
          <w:color w:val="auto"/>
          <w:sz w:val="24"/>
          <w:szCs w:val="24"/>
        </w:rPr>
        <w:t>相结合的基本原则，为司法裁判提供价值引领。第二，细化权利归属的认定标准。针对权属认定的核心难题，可以采纳</w:t>
      </w:r>
      <w:r>
        <w:rPr>
          <w:rFonts w:hint="eastAsia" w:ascii="Times New Roman" w:hAnsi="Times New Roman" w:eastAsia="宋体" w:cs="Times New Roman"/>
          <w:color w:val="auto"/>
          <w:sz w:val="24"/>
          <w:szCs w:val="24"/>
          <w:lang w:eastAsia="zh-CN"/>
        </w:rPr>
        <w:t>“身份信息优先”</w:t>
      </w:r>
      <w:r>
        <w:rPr>
          <w:rFonts w:hint="default" w:ascii="Times New Roman" w:hAnsi="Times New Roman" w:eastAsia="宋体" w:cs="Times New Roman"/>
          <w:color w:val="auto"/>
          <w:sz w:val="24"/>
          <w:szCs w:val="24"/>
        </w:rPr>
        <w:t>规则，明确规定以实名认证信息作为认定网络虚拟财产归属被继承人的初步证据。若运营商或第三方对此提出异议，则需承担相应的举证责任。第三，提供多元化的价值认定参考指引。针对价值评估难题，无需规定使用单一方法，但可提供</w:t>
      </w:r>
      <w:r>
        <w:rPr>
          <w:rFonts w:hint="eastAsia" w:ascii="Times New Roman" w:hAnsi="Times New Roman" w:eastAsia="宋体" w:cs="Times New Roman"/>
          <w:color w:val="auto"/>
          <w:sz w:val="24"/>
          <w:szCs w:val="24"/>
          <w:lang w:eastAsia="zh-CN"/>
        </w:rPr>
        <w:t>“充值记录”</w:t>
      </w:r>
      <w:r>
        <w:rPr>
          <w:rFonts w:hint="default"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lang w:eastAsia="zh-CN"/>
        </w:rPr>
        <w:t>“市场交易价”</w:t>
      </w:r>
      <w:r>
        <w:rPr>
          <w:rFonts w:hint="default"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lang w:eastAsia="zh-CN"/>
        </w:rPr>
        <w:t>“第三方评估报告”</w:t>
      </w:r>
      <w:r>
        <w:rPr>
          <w:rFonts w:hint="default" w:ascii="Times New Roman" w:hAnsi="Times New Roman" w:eastAsia="宋体" w:cs="Times New Roman"/>
          <w:color w:val="auto"/>
          <w:sz w:val="24"/>
          <w:szCs w:val="24"/>
        </w:rPr>
        <w:t>等多种参考因素，并允许法院结合具体案情酌情认定</w:t>
      </w:r>
      <w:r>
        <w:rPr>
          <w:rFonts w:hint="default" w:ascii="Times New Roman" w:hAnsi="Times New Roman" w:eastAsia="宋体" w:cs="Times New Roman"/>
          <w:color w:val="auto"/>
          <w:sz w:val="24"/>
          <w:szCs w:val="24"/>
          <w:vertAlign w:val="superscript"/>
        </w:rPr>
        <w:fldChar w:fldCharType="begin"/>
      </w:r>
      <w:r>
        <w:rPr>
          <w:rFonts w:hint="default" w:ascii="Times New Roman" w:hAnsi="Times New Roman" w:eastAsia="宋体" w:cs="Times New Roman"/>
          <w:color w:val="auto"/>
          <w:sz w:val="24"/>
          <w:szCs w:val="24"/>
          <w:vertAlign w:val="superscript"/>
        </w:rPr>
        <w:instrText xml:space="preserve"> REF _Ref18941 \r \h </w:instrText>
      </w:r>
      <w:r>
        <w:rPr>
          <w:rFonts w:hint="default" w:ascii="Times New Roman" w:hAnsi="Times New Roman" w:eastAsia="宋体" w:cs="Times New Roman"/>
          <w:color w:val="auto"/>
          <w:sz w:val="24"/>
          <w:szCs w:val="24"/>
          <w:vertAlign w:val="superscript"/>
        </w:rPr>
        <w:fldChar w:fldCharType="separate"/>
      </w:r>
      <w:r>
        <w:rPr>
          <w:rFonts w:hint="default" w:ascii="Times New Roman" w:hAnsi="Times New Roman" w:eastAsia="宋体" w:cs="Times New Roman"/>
          <w:color w:val="auto"/>
          <w:sz w:val="24"/>
          <w:szCs w:val="24"/>
          <w:vertAlign w:val="superscript"/>
        </w:rPr>
        <w:t>[24]</w:t>
      </w:r>
      <w:r>
        <w:rPr>
          <w:rFonts w:hint="default" w:ascii="Times New Roman" w:hAnsi="Times New Roman" w:eastAsia="宋体" w:cs="Times New Roman"/>
          <w:color w:val="auto"/>
          <w:sz w:val="24"/>
          <w:szCs w:val="24"/>
          <w:vertAlign w:val="superscript"/>
        </w:rPr>
        <w:fldChar w:fldCharType="end"/>
      </w:r>
      <w:r>
        <w:rPr>
          <w:rFonts w:hint="default" w:ascii="Times New Roman" w:hAnsi="Times New Roman" w:eastAsia="宋体" w:cs="Times New Roman"/>
          <w:color w:val="auto"/>
          <w:sz w:val="24"/>
          <w:szCs w:val="24"/>
        </w:rPr>
        <w:t>。引导法院在存在多名继承人争议时，可委托专业机构进行评估，为公平分割遗产提供依据。通过出台这样一部具有权威性的司法指导意见，可以有效统一全国法院的裁判思路，最大限度地减少</w:t>
      </w:r>
      <w:r>
        <w:rPr>
          <w:rFonts w:hint="eastAsia" w:ascii="Times New Roman" w:hAnsi="Times New Roman" w:eastAsia="宋体" w:cs="Times New Roman"/>
          <w:color w:val="auto"/>
          <w:sz w:val="24"/>
          <w:szCs w:val="24"/>
          <w:lang w:eastAsia="zh-CN"/>
        </w:rPr>
        <w:t>“同案不同判”</w:t>
      </w:r>
      <w:r>
        <w:rPr>
          <w:rFonts w:hint="default" w:ascii="Times New Roman" w:hAnsi="Times New Roman" w:eastAsia="宋体" w:cs="Times New Roman"/>
          <w:color w:val="auto"/>
          <w:sz w:val="24"/>
          <w:szCs w:val="24"/>
        </w:rPr>
        <w:t>现象，为保障公民数字遗产的顺利继承提供及时、有力的司法保障。</w:t>
      </w:r>
    </w:p>
    <w:p w14:paraId="60DD5188">
      <w:pPr>
        <w:pStyle w:val="3"/>
        <w:bidi w:val="0"/>
        <w:rPr>
          <w:rFonts w:hint="default"/>
        </w:rPr>
      </w:pPr>
      <w:bookmarkStart w:id="167" w:name="_Toc24126"/>
      <w:bookmarkStart w:id="168" w:name="_Toc27155"/>
      <w:r>
        <w:rPr>
          <w:rFonts w:hint="default"/>
        </w:rPr>
        <w:t>5.2 完善网络虚拟财产继承的权利归属认定规则</w:t>
      </w:r>
      <w:bookmarkEnd w:id="167"/>
      <w:bookmarkEnd w:id="168"/>
    </w:p>
    <w:p w14:paraId="148B7A31">
      <w:pPr>
        <w:pStyle w:val="4"/>
        <w:bidi w:val="0"/>
        <w:rPr>
          <w:rFonts w:hint="default"/>
        </w:rPr>
      </w:pPr>
      <w:bookmarkStart w:id="169" w:name="_Toc27031"/>
      <w:bookmarkStart w:id="170" w:name="_Toc14534"/>
      <w:r>
        <w:rPr>
          <w:rFonts w:hint="default"/>
        </w:rPr>
        <w:t>5.2.1 构建财产权益继承与人格权益保护并行的规则</w:t>
      </w:r>
      <w:bookmarkEnd w:id="169"/>
      <w:bookmarkEnd w:id="170"/>
    </w:p>
    <w:p w14:paraId="764B64F2">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鉴定网络虚拟财产的法律属性是构建保护体系的首要要点，其权属的划分直接影响着后续救济途径的抉择，在明确网络虚拟财产具有物权属性这一基础上，所有权到底归谁的问题成了急需应对的实践难题，目前学界针对此主要有两种对立观点：用户产权说与运营商产权说，这两种理论的分歧呈现出网络虚拟财产法律关系里复杂的利益平衡诉求。</w:t>
      </w:r>
    </w:p>
    <w:p w14:paraId="5237A77A">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近年来学术研究发觉，赞同用户所有权的观点渐渐成为主流，这种倾向主要依据三方面进行考量，用户依靠金钱购买或投入时间去获取网络虚拟财产，理当享有完整的物权归属；明确所有权归属对建立稳定交易秩序有帮助，助力网络虚拟财产市场达成健康发展局面；用户所有权的模式可更高效地激励游戏产业开展创新，形成有利的竞争格局，越来越多的司法判例已开始倾向于维护用户对网络虚拟财产的支配权，此趋势体现出数字经济时代财产权观念的显著变革。</w:t>
      </w:r>
    </w:p>
    <w:p w14:paraId="0775C5D4">
      <w:pPr>
        <w:pStyle w:val="4"/>
        <w:bidi w:val="0"/>
        <w:rPr>
          <w:rFonts w:hint="default"/>
          <w:lang w:val="en-US" w:eastAsia="zh-CN"/>
        </w:rPr>
      </w:pPr>
      <w:bookmarkStart w:id="171" w:name="_Toc19262"/>
      <w:bookmarkStart w:id="172" w:name="_Toc13406"/>
      <w:r>
        <w:rPr>
          <w:rFonts w:hint="default"/>
        </w:rPr>
        <w:t xml:space="preserve">5.2.2 </w:t>
      </w:r>
      <w:r>
        <w:rPr>
          <w:rFonts w:hint="eastAsia"/>
          <w:lang w:eastAsia="zh-CN"/>
        </w:rPr>
        <w:t>“</w:t>
      </w:r>
      <w:r>
        <w:rPr>
          <w:rFonts w:hint="default"/>
        </w:rPr>
        <w:t>所有权—使用权</w:t>
      </w:r>
      <w:r>
        <w:rPr>
          <w:rFonts w:hint="eastAsia"/>
          <w:lang w:eastAsia="zh-CN"/>
        </w:rPr>
        <w:t>”</w:t>
      </w:r>
      <w:r>
        <w:rPr>
          <w:rFonts w:hint="default"/>
        </w:rPr>
        <w:t>分离</w:t>
      </w:r>
      <w:bookmarkEnd w:id="171"/>
      <w:r>
        <w:rPr>
          <w:rFonts w:hint="default"/>
          <w:lang w:val="en-US" w:eastAsia="zh-CN"/>
        </w:rPr>
        <w:t>的归属原则</w:t>
      </w:r>
      <w:bookmarkEnd w:id="172"/>
    </w:p>
    <w:p w14:paraId="114072E7">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在关于网络虚拟财产法律属性的探讨中，所有权归属问题十分复杂</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运营商与玩家之间本质上存在共生关系，运营商需要优质的游戏内容吸引玩家，玩家需要良好的游戏环境获得更好的游戏体验，二者的核心利益一致。实践中很多纠纷并不是运营商和玩家的直接冲突，而是由第三方侵权行为所导致的。</w:t>
      </w:r>
    </w:p>
    <w:p w14:paraId="076BE7CB">
      <w:pPr>
        <w:pStyle w:val="3"/>
        <w:bidi w:val="0"/>
        <w:rPr>
          <w:rFonts w:hint="default"/>
        </w:rPr>
      </w:pPr>
      <w:bookmarkStart w:id="173" w:name="_Toc5201"/>
      <w:bookmarkStart w:id="174" w:name="_Toc15233"/>
      <w:r>
        <w:rPr>
          <w:rFonts w:hint="default"/>
        </w:rPr>
        <w:t>5.3 健全网络虚拟财产继承的价值评估体系</w:t>
      </w:r>
      <w:bookmarkEnd w:id="173"/>
      <w:bookmarkEnd w:id="174"/>
    </w:p>
    <w:p w14:paraId="17EE5F21">
      <w:pPr>
        <w:pStyle w:val="4"/>
        <w:bidi w:val="0"/>
        <w:rPr>
          <w:rFonts w:hint="default"/>
        </w:rPr>
      </w:pPr>
      <w:bookmarkStart w:id="175" w:name="_Toc9697"/>
      <w:bookmarkStart w:id="176" w:name="_Toc787"/>
      <w:r>
        <w:rPr>
          <w:rFonts w:hint="default"/>
        </w:rPr>
        <w:t>5.3.1 构建权威的价值评估标准与专业机构体系</w:t>
      </w:r>
      <w:bookmarkEnd w:id="175"/>
      <w:bookmarkEnd w:id="176"/>
    </w:p>
    <w:p w14:paraId="1E1FA27D">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目前我国司法实践已明确，鉴定机构出具的鉴定报告具备法定证据效力，该制度在处理网络虚拟财产纠纷问题上有独特价值，网络虚拟财产价值的认定兼具专业性与复杂性，其价值评估不光需有技术层面的评判，还需要把市场因素融合进去，伴随数字经济的迅猛发展，网络虚拟财产形态渐渐呈现多样化，价值的构成往往跟游戏运营情形、市场供需关系、用户投入成本等诸多因素相关联，该价值特性决定了要搭建专门的评估机制，由具备专业相关资质的鉴定机构实施客观公正的评估。</w:t>
      </w:r>
    </w:p>
    <w:p w14:paraId="6DED846B">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就评估机构组建这件事而言，可依照国际经验建立起多元主体参与的评估体系，理想中的评估小组应把游戏开发技术人员、同类平台运营专家、资深玩家代表以及物价管理部门专业人员等纳入其中，这种复合型人员编排不仅能维持技术判断的专业性，又能让市场价值的合理性得到保障，为保证评估工作的质量，应构建严格的职业资格认证体系，评估人员必须经过专业考核，拿到网络虚拟财产价值评估资格证书后才能从事相关工作</w:t>
      </w:r>
      <w:r>
        <w:rPr>
          <w:rFonts w:hint="default" w:ascii="Times New Roman" w:hAnsi="Times New Roman" w:eastAsia="宋体" w:cs="Times New Roman"/>
          <w:color w:val="auto"/>
          <w:sz w:val="24"/>
          <w:szCs w:val="24"/>
          <w:vertAlign w:val="superscript"/>
        </w:rPr>
        <w:fldChar w:fldCharType="begin"/>
      </w:r>
      <w:r>
        <w:rPr>
          <w:rFonts w:hint="default" w:ascii="Times New Roman" w:hAnsi="Times New Roman" w:eastAsia="宋体" w:cs="Times New Roman"/>
          <w:color w:val="auto"/>
          <w:sz w:val="24"/>
          <w:szCs w:val="24"/>
          <w:vertAlign w:val="superscript"/>
        </w:rPr>
        <w:instrText xml:space="preserve"> REF _Ref19290 \r \h </w:instrText>
      </w:r>
      <w:r>
        <w:rPr>
          <w:rFonts w:hint="default" w:ascii="Times New Roman" w:hAnsi="Times New Roman" w:eastAsia="宋体" w:cs="Times New Roman"/>
          <w:color w:val="auto"/>
          <w:sz w:val="24"/>
          <w:szCs w:val="24"/>
          <w:vertAlign w:val="superscript"/>
        </w:rPr>
        <w:fldChar w:fldCharType="separate"/>
      </w:r>
      <w:r>
        <w:rPr>
          <w:rFonts w:hint="default" w:ascii="Times New Roman" w:hAnsi="Times New Roman" w:eastAsia="宋体" w:cs="Times New Roman"/>
          <w:color w:val="auto"/>
          <w:sz w:val="24"/>
          <w:szCs w:val="24"/>
          <w:vertAlign w:val="superscript"/>
        </w:rPr>
        <w:t>[25]</w:t>
      </w:r>
      <w:r>
        <w:rPr>
          <w:rFonts w:hint="default" w:ascii="Times New Roman" w:hAnsi="Times New Roman" w:eastAsia="宋体" w:cs="Times New Roman"/>
          <w:color w:val="auto"/>
          <w:sz w:val="24"/>
          <w:szCs w:val="24"/>
          <w:vertAlign w:val="superscript"/>
        </w:rPr>
        <w:fldChar w:fldCharType="end"/>
      </w:r>
      <w:r>
        <w:rPr>
          <w:rFonts w:hint="default" w:ascii="Times New Roman" w:hAnsi="Times New Roman" w:eastAsia="宋体" w:cs="Times New Roman"/>
          <w:color w:val="auto"/>
          <w:sz w:val="24"/>
          <w:szCs w:val="24"/>
        </w:rPr>
        <w:t>。</w:t>
      </w:r>
    </w:p>
    <w:p w14:paraId="16BEBEB9">
      <w:pPr>
        <w:pStyle w:val="4"/>
        <w:bidi w:val="0"/>
        <w:rPr>
          <w:rFonts w:hint="default"/>
        </w:rPr>
      </w:pPr>
      <w:bookmarkStart w:id="177" w:name="_Toc13961"/>
      <w:bookmarkStart w:id="178" w:name="_Toc1238"/>
      <w:r>
        <w:rPr>
          <w:rFonts w:hint="default"/>
        </w:rPr>
        <w:t>5.3.2 构建综合评估模型</w:t>
      </w:r>
      <w:bookmarkEnd w:id="177"/>
      <w:bookmarkEnd w:id="178"/>
    </w:p>
    <w:p w14:paraId="3B13C4D3">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网络虚拟财产的价值认定需要建立分类评估体系，这是由数字资产本身的多样性和复杂性所决定的。当前对网络虚拟财产的研究往往忽视类型化的区分，将各类虚拟资产简单的同等对待，这种做法难以准确反映不同形态数字财产的真实价值。基于功能属性和市场特征的差异，构建起</w:t>
      </w:r>
      <w:r>
        <w:rPr>
          <w:rFonts w:hint="eastAsia" w:ascii="Times New Roman" w:hAnsi="Times New Roman" w:eastAsia="宋体" w:cs="Times New Roman"/>
          <w:color w:val="auto"/>
          <w:sz w:val="24"/>
          <w:szCs w:val="24"/>
          <w:lang w:eastAsia="zh-CN"/>
        </w:rPr>
        <w:t>“三位一体”</w:t>
      </w:r>
      <w:r>
        <w:rPr>
          <w:rFonts w:hint="default" w:ascii="Times New Roman" w:hAnsi="Times New Roman" w:eastAsia="宋体" w:cs="Times New Roman"/>
          <w:color w:val="auto"/>
          <w:sz w:val="24"/>
          <w:szCs w:val="24"/>
        </w:rPr>
        <w:t>的评估框架：在制度搭建范畴，应由行业协会牵头组织制定《网络虚拟财产价值评估指引》，搭建</w:t>
      </w:r>
      <w:r>
        <w:rPr>
          <w:rFonts w:hint="eastAsia" w:ascii="Times New Roman" w:hAnsi="Times New Roman" w:eastAsia="宋体" w:cs="Times New Roman"/>
          <w:color w:val="auto"/>
          <w:sz w:val="24"/>
          <w:szCs w:val="24"/>
          <w:lang w:eastAsia="zh-CN"/>
        </w:rPr>
        <w:t>“成本法-市场法-收益法”</w:t>
      </w:r>
      <w:r>
        <w:rPr>
          <w:rFonts w:hint="default" w:ascii="Times New Roman" w:hAnsi="Times New Roman" w:eastAsia="宋体" w:cs="Times New Roman"/>
          <w:color w:val="auto"/>
          <w:sz w:val="24"/>
          <w:szCs w:val="24"/>
        </w:rPr>
        <w:t>复合评估模型体系，其中采用成本法核算用户直接投入，把充值所涉金额和时间成本做折现处理，市场法跟踪二级交易平台的价格走势，收益法预估预期经济收益，好比公众号广告的收入效益；就评估主体层面而言，培育兼具数字技术与法律复合知识的专业评估主体，要求运营商把必要的交易数据接口开放出来；就技术层面而言，开发区块链存证手段，实现网络虚拟财产流转全程追溯，给价值判定提供可信赖的数据支撑。尤其针对具有持续创收能力的网络虚拟财产，提议采用</w:t>
      </w:r>
      <w:r>
        <w:rPr>
          <w:rFonts w:hint="eastAsia" w:ascii="Times New Roman" w:hAnsi="Times New Roman" w:eastAsia="宋体" w:cs="Times New Roman"/>
          <w:color w:val="auto"/>
          <w:sz w:val="24"/>
          <w:szCs w:val="24"/>
          <w:lang w:eastAsia="zh-CN"/>
        </w:rPr>
        <w:t>“折现现金流”</w:t>
      </w:r>
      <w:r>
        <w:rPr>
          <w:rFonts w:hint="default" w:ascii="Times New Roman" w:hAnsi="Times New Roman" w:eastAsia="宋体" w:cs="Times New Roman"/>
          <w:color w:val="auto"/>
          <w:sz w:val="24"/>
          <w:szCs w:val="24"/>
        </w:rPr>
        <w:t>评估途径，全面考量历史收益、增长走向和剩余存续周期等因素，唯有借助这种多维度、动态化的评估体系，才能有效破除</w:t>
      </w:r>
      <w:r>
        <w:rPr>
          <w:rFonts w:hint="eastAsia" w:ascii="Times New Roman" w:hAnsi="Times New Roman" w:eastAsia="宋体" w:cs="Times New Roman"/>
          <w:color w:val="auto"/>
          <w:sz w:val="24"/>
          <w:szCs w:val="24"/>
          <w:lang w:eastAsia="zh-CN"/>
        </w:rPr>
        <w:t>“同案不同判”</w:t>
      </w:r>
      <w:r>
        <w:rPr>
          <w:rFonts w:hint="default" w:ascii="Times New Roman" w:hAnsi="Times New Roman" w:eastAsia="宋体" w:cs="Times New Roman"/>
          <w:color w:val="auto"/>
          <w:sz w:val="24"/>
          <w:szCs w:val="24"/>
        </w:rPr>
        <w:t>的司法困境，为网络虚拟财产继承提供科学的价值鉴别基础。</w:t>
      </w:r>
    </w:p>
    <w:p w14:paraId="34EEFA24">
      <w:pPr>
        <w:pStyle w:val="3"/>
        <w:bidi w:val="0"/>
        <w:rPr>
          <w:rFonts w:hint="default"/>
        </w:rPr>
      </w:pPr>
      <w:bookmarkStart w:id="179" w:name="_Toc30053"/>
      <w:bookmarkStart w:id="180" w:name="_Toc17377"/>
      <w:r>
        <w:rPr>
          <w:rFonts w:hint="default"/>
        </w:rPr>
        <w:t>5.4 明确网络虚拟财产的举证责任</w:t>
      </w:r>
      <w:bookmarkEnd w:id="179"/>
      <w:bookmarkEnd w:id="180"/>
    </w:p>
    <w:p w14:paraId="18BD1AC2">
      <w:pPr>
        <w:pStyle w:val="4"/>
        <w:bidi w:val="0"/>
        <w:rPr>
          <w:rFonts w:hint="default"/>
        </w:rPr>
      </w:pPr>
      <w:bookmarkStart w:id="181" w:name="_Toc1122"/>
      <w:bookmarkStart w:id="182" w:name="_Toc28638"/>
      <w:r>
        <w:rPr>
          <w:rFonts w:hint="default"/>
        </w:rPr>
        <w:t>5.4.1 举证责任分配的现实考量</w:t>
      </w:r>
      <w:bookmarkEnd w:id="181"/>
      <w:bookmarkEnd w:id="182"/>
    </w:p>
    <w:p w14:paraId="3B6D165E">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在司法实际操作中，网络虚拟财产纠纷呈现出很明显的类型化倾向，主要体现为用户与第三人之间产生的侵权纠纷以及用户与运营商之间的合同纠纷这两类，不同类型的纠纷鉴于其主体关系与法律性质的差别，应采用差异化的举证责任分配方式，这跟法律公平原则的内涵契合，也有利于达成实质正义。</w:t>
      </w:r>
    </w:p>
    <w:p w14:paraId="2DFBF194">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就用户跟第三人之间的侵权纠纷而言，该法律性质跟传统财产侵权在本质上没有本质区分，在这些类似的案件里，继续采用《民法典》明确的</w:t>
      </w:r>
      <w:r>
        <w:rPr>
          <w:rFonts w:hint="eastAsia" w:ascii="Times New Roman" w:hAnsi="Times New Roman" w:eastAsia="宋体" w:cs="Times New Roman"/>
          <w:color w:val="auto"/>
          <w:sz w:val="24"/>
          <w:szCs w:val="24"/>
          <w:lang w:eastAsia="zh-CN"/>
        </w:rPr>
        <w:t>“谁主张，谁举证”</w:t>
      </w:r>
      <w:r>
        <w:rPr>
          <w:rFonts w:hint="default" w:ascii="Times New Roman" w:hAnsi="Times New Roman" w:eastAsia="宋体" w:cs="Times New Roman"/>
          <w:color w:val="auto"/>
          <w:sz w:val="24"/>
          <w:szCs w:val="24"/>
        </w:rPr>
        <w:t>原则具备合理性，原告用户需要去证明侵权事实、损害后果以及因果关系等要件属实，这种举证责任的分配维系了法律适用的一致性，也不会给用户带来过重的证明压力，由于在这样一种外部侵权关系里面，诉讼中双方当事人地位平等，用户获取必要证据不存在实质意义上的障碍。</w:t>
      </w:r>
    </w:p>
    <w:p w14:paraId="23579FAA">
      <w:pPr>
        <w:pStyle w:val="4"/>
        <w:bidi w:val="0"/>
        <w:rPr>
          <w:rFonts w:hint="default"/>
        </w:rPr>
      </w:pPr>
      <w:bookmarkStart w:id="183" w:name="_Toc23203"/>
      <w:bookmarkStart w:id="184" w:name="_Toc20042"/>
      <w:r>
        <w:rPr>
          <w:rFonts w:hint="default"/>
        </w:rPr>
        <w:t>5.4.2 探索应用区块链技术进行电子数据存证</w:t>
      </w:r>
      <w:bookmarkEnd w:id="183"/>
      <w:bookmarkEnd w:id="184"/>
    </w:p>
    <w:p w14:paraId="63343C1D">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解决网络游戏虚拟财产纠纷面临着取证困难这一现实挑战，传统取证途径往往因为技术门槛高和操作繁杂，无法满足司法实践的要求，为摆脱这一困境，成立独立的第三方数据存证体系十分必需，该体系对游戏内虚拟资产的变动情况开展实时同步备份，打造完整的操作轨迹日志，为处理各类纠纷提供客观公正的证据支撑，这种机制的运行原理为运用区块链等可靠技术，将玩家网络虚拟财产产生、交易、变更等阶段的关键数据马上存储于第三方平台，保障数据不可被篡改且可追溯。</w:t>
      </w:r>
    </w:p>
    <w:p w14:paraId="43E6DB31">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第三方存证机制的核心价值在于其独立性和技术可靠性，作为中立的证据保管方，第三方平台能够提供未经任何一方单方修改的原始数据记录，有效解决玩家与运营商之间的证据信任危机。这种技术手段不仅能够准确区分责任归属，还能为法院认定事实提供权威依据，提升裁判的准确性和公信力。</w:t>
      </w:r>
    </w:p>
    <w:p w14:paraId="6349F953">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从法律适用角度看，第三方存证机制跟现行证据规则极为相符，我国有关电子证据的法律规定，已为第三方存证数据的证据资格留出了制度空间，其哈希值校验、时间戳认证等技术特点，与电子证据真实性、完整性的要求完全匹配。纠纷进入诉讼程序时，当事人可直接申请调取数据作为核心证据，法官也可依职权要求第三方平台提供相关记录。这种机制既避免了当事人取证的技术障碍，又减轻了法院审查电子证据真实性的负担，实现诉讼效率与司法公正的双重提升。</w:t>
      </w:r>
    </w:p>
    <w:p w14:paraId="32ADBE28">
      <w:pPr>
        <w:pStyle w:val="3"/>
        <w:bidi w:val="0"/>
        <w:rPr>
          <w:rFonts w:hint="default"/>
        </w:rPr>
      </w:pPr>
      <w:bookmarkStart w:id="185" w:name="_Toc12433"/>
      <w:bookmarkStart w:id="186" w:name="_Toc7844"/>
      <w:r>
        <w:rPr>
          <w:rFonts w:hint="default"/>
        </w:rPr>
        <w:t>5.5 本章小结</w:t>
      </w:r>
      <w:bookmarkEnd w:id="185"/>
      <w:bookmarkEnd w:id="186"/>
    </w:p>
    <w:p w14:paraId="0D8A402D">
      <w:pPr>
        <w:pageBreakBefore w:val="0"/>
        <w:widowControl w:val="0"/>
        <w:kinsoku/>
        <w:wordWrap/>
        <w:overflowPunct/>
        <w:topLinePunct w:val="0"/>
        <w:autoSpaceDE/>
        <w:autoSpaceDN/>
        <w:bidi w:val="0"/>
        <w:spacing w:line="440" w:lineRule="atLeast"/>
        <w:ind w:firstLine="480" w:firstLineChars="200"/>
        <w:jc w:val="left"/>
        <w:textAlignment w:val="auto"/>
        <w:rPr>
          <w:rFonts w:hint="default" w:ascii="Times New Roman" w:hAnsi="Times New Roman" w:eastAsia="宋体" w:cs="Times New Roman"/>
          <w:color w:val="auto"/>
          <w:sz w:val="24"/>
          <w:szCs w:val="24"/>
        </w:rPr>
        <w:sectPr>
          <w:headerReference r:id="rId21" w:type="default"/>
          <w:headerReference r:id="rId22" w:type="even"/>
          <w:footnotePr>
            <w:numFmt w:val="decimalEnclosedCircleChinese"/>
            <w:numRestart w:val="eachPage"/>
          </w:footnotePr>
          <w:pgSz w:w="11905" w:h="16838"/>
          <w:pgMar w:top="1587" w:right="1417" w:bottom="1587" w:left="1417" w:header="1134" w:footer="1134" w:gutter="0"/>
          <w:pgBorders>
            <w:top w:val="none" w:sz="0" w:space="0"/>
            <w:left w:val="none" w:sz="0" w:space="0"/>
            <w:bottom w:val="none" w:sz="0" w:space="0"/>
            <w:right w:val="none" w:sz="0" w:space="0"/>
          </w:pgBorders>
          <w:pgNumType w:fmt="decimal"/>
          <w:cols w:space="0" w:num="1"/>
          <w:rtlGutter w:val="0"/>
          <w:docGrid w:linePitch="312" w:charSpace="0"/>
        </w:sectPr>
      </w:pPr>
      <w:r>
        <w:rPr>
          <w:rFonts w:hint="default" w:ascii="Times New Roman" w:hAnsi="Times New Roman" w:eastAsia="宋体" w:cs="Times New Roman"/>
          <w:color w:val="auto"/>
          <w:sz w:val="24"/>
          <w:szCs w:val="24"/>
        </w:rPr>
        <w:t>针对我国网络虚拟财产继承面临的现实困境，需要构建一套系统化、可操作的解决方案。首要任务是明确网络虚拟财产的法律地位，第二个关键环节是建立科学的分类管理体系，第三个重点是完善配套实施机制。其中最迫切的是建立中立的第三方评估机构，负责网络虚拟财产的价值认定，在纠纷解决方面，建议推行</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举证责任倒置</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原则。随着一系列新技术形态的出现，网络虚拟财产的形式和内容都在快速演变，我们的制度架构必须具备足够的弹性，既要解决当下的继承难题，又要能够适应未来的技术发展，为后续调整留出余地。</w:t>
      </w:r>
    </w:p>
    <w:p w14:paraId="4834F6BE">
      <w:pPr>
        <w:pStyle w:val="2"/>
        <w:bidi w:val="0"/>
        <w:rPr>
          <w:rFonts w:hint="default"/>
        </w:rPr>
      </w:pPr>
      <w:bookmarkStart w:id="187" w:name="_Toc19718"/>
      <w:bookmarkStart w:id="188" w:name="_Toc25352"/>
      <w:r>
        <w:rPr>
          <w:rFonts w:hint="default"/>
        </w:rPr>
        <w:t>结  论</w:t>
      </w:r>
      <w:bookmarkEnd w:id="187"/>
      <w:bookmarkEnd w:id="188"/>
    </w:p>
    <w:p w14:paraId="76EC2B38">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本文就网络虚拟财产继承问题进行系统性探究，在对虚拟财产法律属性、权利归属、价值评估及举证责任等问题进行深度探究的基础上，建议把虚拟财产归入物权保护体系，同时构建起一套涵盖所有权界定、价值评估、举证责任分配及技术支撑的继承制度体系。与既有的研究作比较，本文主要从三个方面展现出创新性：一是证实虚拟财产具备物权属性，突破传统</w:t>
      </w:r>
      <w:r>
        <w:rPr>
          <w:rFonts w:hint="eastAsia" w:ascii="Times New Roman" w:hAnsi="Times New Roman" w:eastAsia="宋体" w:cs="Times New Roman"/>
          <w:color w:val="auto"/>
          <w:sz w:val="24"/>
          <w:szCs w:val="24"/>
          <w:lang w:eastAsia="zh-CN"/>
        </w:rPr>
        <w:t>“物债二分”</w:t>
      </w:r>
      <w:r>
        <w:rPr>
          <w:rFonts w:hint="default" w:ascii="Times New Roman" w:hAnsi="Times New Roman" w:eastAsia="宋体" w:cs="Times New Roman"/>
          <w:color w:val="auto"/>
          <w:sz w:val="24"/>
          <w:szCs w:val="24"/>
        </w:rPr>
        <w:t>理论的藩篱，为司法实践中虚拟财产继承奠定了坚实法理根基；二是倡导建立第三方评估机制与分类评估体系，成功应对了虚拟财产价值认定棘手、标准不统一的实际困境，增强了制度实施的可操作性；三是采用数字技术构建第三方数据存证机制，为处理纠纷提供了可靠的技术后盾。</w:t>
      </w:r>
    </w:p>
    <w:p w14:paraId="2343DCAA">
      <w:pPr>
        <w:pageBreakBefore w:val="0"/>
        <w:widowControl w:val="0"/>
        <w:kinsoku/>
        <w:wordWrap/>
        <w:overflowPunct/>
        <w:topLinePunct w:val="0"/>
        <w:autoSpaceDE/>
        <w:autoSpaceDN/>
        <w:bidi w:val="0"/>
        <w:spacing w:line="440" w:lineRule="atLeast"/>
        <w:ind w:firstLine="480" w:firstLineChars="200"/>
        <w:textAlignment w:val="auto"/>
        <w:rPr>
          <w:rFonts w:hint="default" w:ascii="Times New Roman" w:hAnsi="Times New Roman" w:eastAsia="宋体" w:cs="Times New Roman"/>
          <w:color w:val="auto"/>
          <w:sz w:val="24"/>
          <w:szCs w:val="24"/>
        </w:rPr>
        <w:sectPr>
          <w:headerReference r:id="rId23" w:type="default"/>
          <w:footnotePr>
            <w:numFmt w:val="decimalEnclosedCircleChinese"/>
            <w:numRestart w:val="eachPage"/>
          </w:footnotePr>
          <w:pgSz w:w="11905" w:h="16838"/>
          <w:pgMar w:top="1587" w:right="1417" w:bottom="1587" w:left="1417" w:header="1134" w:footer="1134" w:gutter="0"/>
          <w:pgBorders>
            <w:top w:val="none" w:sz="0" w:space="0"/>
            <w:left w:val="none" w:sz="0" w:space="0"/>
            <w:bottom w:val="none" w:sz="0" w:space="0"/>
            <w:right w:val="none" w:sz="0" w:space="0"/>
          </w:pgBorders>
          <w:pgNumType w:fmt="decimal"/>
          <w:cols w:space="0" w:num="1"/>
          <w:rtlGutter w:val="0"/>
          <w:docGrid w:linePitch="312" w:charSpace="0"/>
        </w:sectPr>
      </w:pPr>
      <w:r>
        <w:rPr>
          <w:rFonts w:hint="default" w:ascii="Times New Roman" w:hAnsi="Times New Roman" w:eastAsia="宋体" w:cs="Times New Roman"/>
          <w:color w:val="auto"/>
          <w:sz w:val="24"/>
          <w:szCs w:val="24"/>
        </w:rPr>
        <w:t>通过借鉴国外的立法经验，再结合中国本土当下实际，使相关建议展现国际层面的视野，又贴合我国司法实际的需求，伴随元宇宙、NFT、人工智能等新型数字资产不断冒头，虚拟财产的类别将不断拓展，其法律属性、继承规则等方面也将碰到新的挑战，后续研究可进一步关切虚拟财产与人格权、隐私权、数据产权的交叉保护事项，研讨跨境虚拟财产继承的国际私法协调这类前沿议题，促进打造更完备、开放且适配性高的数字财产法律体系。</w:t>
      </w:r>
    </w:p>
    <w:p w14:paraId="27858F77">
      <w:pPr>
        <w:pStyle w:val="2"/>
        <w:bidi w:val="0"/>
        <w:rPr>
          <w:rFonts w:hint="default"/>
        </w:rPr>
      </w:pPr>
      <w:bookmarkStart w:id="189" w:name="_Toc9889"/>
      <w:bookmarkStart w:id="190" w:name="_Toc174361332"/>
      <w:bookmarkStart w:id="191" w:name="_Toc2542"/>
      <w:r>
        <w:rPr>
          <w:rFonts w:hint="default"/>
        </w:rPr>
        <w:t>参考文献</w:t>
      </w:r>
      <w:bookmarkEnd w:id="189"/>
      <w:bookmarkEnd w:id="190"/>
      <w:bookmarkEnd w:id="191"/>
    </w:p>
    <w:p w14:paraId="2C9850F1">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中国游戏产业发展概况分析——基于《2023年中国游戏产业报告》数据[J].中国数字出版,2024,2(2):80-87.</w:t>
      </w:r>
    </w:p>
    <w:p w14:paraId="1AA5FEBF">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邢雅琴.网络虚拟财产继承问题与法律完善[J].合作经济与科技,2025,(12):188-190.</w:t>
      </w:r>
    </w:p>
    <w:p w14:paraId="6F00CFBA">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王玉玲.网络虚拟财产继承的法律规制及优化[J].经济研究导刊,2024,(11):153-156.</w:t>
      </w:r>
    </w:p>
    <w:p w14:paraId="0ED5C098">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杨潍光.网络虚拟财产继承法律问题研究[D].</w:t>
      </w:r>
      <w:r>
        <w:rPr>
          <w:rFonts w:hint="eastAsia" w:ascii="Times New Roman" w:hAnsi="Times New Roman" w:eastAsia="宋体" w:cs="Times New Roman"/>
          <w:sz w:val="24"/>
          <w:szCs w:val="24"/>
          <w:lang w:val="en-US" w:eastAsia="zh-CN"/>
        </w:rPr>
        <w:t>天津:</w:t>
      </w:r>
      <w:r>
        <w:rPr>
          <w:rFonts w:hint="default" w:ascii="Times New Roman" w:hAnsi="Times New Roman" w:eastAsia="宋体" w:cs="Times New Roman"/>
          <w:sz w:val="24"/>
          <w:szCs w:val="24"/>
        </w:rPr>
        <w:t>天津财经大学,2024.</w:t>
      </w:r>
    </w:p>
    <w:p w14:paraId="11DDFE63">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Bing H . Discussion on Legal Issues of Network Virtual Property from the Perspective of Inheritance Law[J].Science of Law Journal,2022,1(4):</w:t>
      </w:r>
      <w:r>
        <w:rPr>
          <w:rFonts w:hint="eastAsia" w:ascii="Times New Roman" w:hAnsi="Times New Roman" w:eastAsia="宋体" w:cs="Times New Roman"/>
          <w:sz w:val="24"/>
          <w:szCs w:val="24"/>
          <w:lang w:val="en-US" w:eastAsia="zh-CN"/>
        </w:rPr>
        <w:t>55-58</w:t>
      </w:r>
      <w:r>
        <w:rPr>
          <w:rFonts w:hint="default" w:ascii="Times New Roman" w:hAnsi="Times New Roman" w:eastAsia="宋体" w:cs="Times New Roman"/>
          <w:sz w:val="24"/>
          <w:szCs w:val="24"/>
        </w:rPr>
        <w:t>.</w:t>
      </w:r>
    </w:p>
    <w:p w14:paraId="1146CF90">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Li X ,Xiao X . Research on the Legal Issues of Inheritance of Virtual Property on the Internet[J].Journal of Humanities, Arts and Social Science,2023,7(9):</w:t>
      </w:r>
      <w:r>
        <w:rPr>
          <w:rFonts w:hint="eastAsia" w:ascii="Times New Roman" w:hAnsi="Times New Roman" w:eastAsia="宋体" w:cs="Times New Roman"/>
          <w:sz w:val="24"/>
          <w:szCs w:val="24"/>
          <w:lang w:val="en-US" w:eastAsia="zh-CN"/>
        </w:rPr>
        <w:t>113-115</w:t>
      </w:r>
      <w:r>
        <w:rPr>
          <w:rFonts w:hint="default" w:ascii="Times New Roman" w:hAnsi="Times New Roman" w:eastAsia="宋体" w:cs="Times New Roman"/>
          <w:sz w:val="24"/>
          <w:szCs w:val="24"/>
        </w:rPr>
        <w:t>.</w:t>
      </w:r>
    </w:p>
    <w:p w14:paraId="06870563">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Yuyuan X . Discussion on legal issues of inheritance of virtual property in network[J].</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International Journal of Frontiers in Sociology,2024,6(3):</w:t>
      </w:r>
      <w:r>
        <w:rPr>
          <w:rFonts w:hint="eastAsia" w:ascii="Times New Roman" w:hAnsi="Times New Roman" w:eastAsia="宋体" w:cs="Times New Roman"/>
          <w:sz w:val="24"/>
          <w:szCs w:val="24"/>
          <w:lang w:val="en-US" w:eastAsia="zh-CN"/>
        </w:rPr>
        <w:t>213-215</w:t>
      </w:r>
      <w:r>
        <w:rPr>
          <w:rFonts w:hint="default" w:ascii="Times New Roman" w:hAnsi="Times New Roman" w:eastAsia="宋体" w:cs="Times New Roman"/>
          <w:sz w:val="24"/>
          <w:szCs w:val="24"/>
        </w:rPr>
        <w:t>.</w:t>
      </w:r>
    </w:p>
    <w:p w14:paraId="72D5D944">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Lifang W . Legal Protection of Virtual Property: Current Status and Future Development of Digital Currency and Virtual Goods Regulation[J].International Journal of Frontiers in Sociology,2024,6(10):</w:t>
      </w:r>
      <w:r>
        <w:rPr>
          <w:rFonts w:hint="eastAsia" w:ascii="Times New Roman" w:hAnsi="Times New Roman" w:eastAsia="宋体" w:cs="Times New Roman"/>
          <w:sz w:val="24"/>
          <w:szCs w:val="24"/>
          <w:lang w:val="en-US" w:eastAsia="zh-CN"/>
        </w:rPr>
        <w:t>99-113</w:t>
      </w:r>
      <w:r>
        <w:rPr>
          <w:rFonts w:hint="default" w:ascii="Times New Roman" w:hAnsi="Times New Roman" w:eastAsia="宋体" w:cs="Times New Roman"/>
          <w:sz w:val="24"/>
          <w:szCs w:val="24"/>
        </w:rPr>
        <w:t>.</w:t>
      </w:r>
    </w:p>
    <w:p w14:paraId="4D47E79B">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Dumchikov M ,Maletova O ,Yanishevska K . Virtual assets in cybercrime: a focus on Ukrainian realities[J].Journal of Financial Crime,2025,32(4):919-933.</w:t>
      </w:r>
    </w:p>
    <w:p w14:paraId="28631555">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郭佳瑶.网络虚拟财产继承研究[J].时代金融,2020,(35):141-143.</w:t>
      </w:r>
    </w:p>
    <w:p w14:paraId="27DF0678">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李谨旭.网络虚拟财产的继承法律问题研究[D].</w:t>
      </w:r>
      <w:r>
        <w:rPr>
          <w:rFonts w:hint="eastAsia" w:ascii="Times New Roman" w:hAnsi="Times New Roman" w:eastAsia="宋体" w:cs="Times New Roman"/>
          <w:sz w:val="24"/>
          <w:szCs w:val="24"/>
          <w:lang w:val="en-US" w:eastAsia="zh-CN"/>
        </w:rPr>
        <w:t>沈阳:</w:t>
      </w:r>
      <w:r>
        <w:rPr>
          <w:rFonts w:hint="default" w:ascii="Times New Roman" w:hAnsi="Times New Roman" w:eastAsia="宋体" w:cs="Times New Roman"/>
          <w:sz w:val="24"/>
          <w:szCs w:val="24"/>
        </w:rPr>
        <w:t>沈阳师范大学,2020.</w:t>
      </w:r>
    </w:p>
    <w:p w14:paraId="1E7C9B02">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张乐.高度重视网络虚拟财产继承的法律问题[N].河南法制报,2019-07-02(014).</w:t>
      </w:r>
    </w:p>
    <w:p w14:paraId="25C4600F">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寇传丽.我国网络虚拟财产继承法律问题研究[D].</w:t>
      </w:r>
      <w:r>
        <w:rPr>
          <w:rFonts w:hint="eastAsia" w:ascii="Times New Roman" w:hAnsi="Times New Roman" w:eastAsia="宋体" w:cs="Times New Roman"/>
          <w:sz w:val="24"/>
          <w:szCs w:val="24"/>
          <w:lang w:val="en-US" w:eastAsia="zh-CN"/>
        </w:rPr>
        <w:t>重庆:</w:t>
      </w:r>
      <w:r>
        <w:rPr>
          <w:rFonts w:hint="default" w:ascii="Times New Roman" w:hAnsi="Times New Roman" w:eastAsia="宋体" w:cs="Times New Roman"/>
          <w:sz w:val="24"/>
          <w:szCs w:val="24"/>
        </w:rPr>
        <w:t>重庆大学,2019.</w:t>
      </w:r>
    </w:p>
    <w:p w14:paraId="5E931FF6">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王春雨.网络虚拟财产继承法律问题研究[D].</w:t>
      </w:r>
      <w:r>
        <w:rPr>
          <w:rFonts w:hint="eastAsia" w:ascii="Times New Roman" w:hAnsi="Times New Roman" w:eastAsia="宋体" w:cs="Times New Roman"/>
          <w:sz w:val="24"/>
          <w:szCs w:val="24"/>
          <w:lang w:val="en-US" w:eastAsia="zh-CN"/>
        </w:rPr>
        <w:t>长春:</w:t>
      </w:r>
      <w:r>
        <w:rPr>
          <w:rFonts w:hint="default" w:ascii="Times New Roman" w:hAnsi="Times New Roman" w:eastAsia="宋体" w:cs="Times New Roman"/>
          <w:sz w:val="24"/>
          <w:szCs w:val="24"/>
        </w:rPr>
        <w:t>长春工业大学,2019.</w:t>
      </w:r>
    </w:p>
    <w:p w14:paraId="4C3C8E5E">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李学成.我国网络虚拟财产继承的法律问题及其立法完善[J].郑州航空工业管理学院学报(社会科学版),2018,37(01):25-31.</w:t>
      </w:r>
    </w:p>
    <w:p w14:paraId="22008B9A">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李爽.关于网络虚拟财产继承法律问题的研究[J].法制博览,2017,(36):146-147.</w:t>
      </w:r>
    </w:p>
    <w:p w14:paraId="2BF5F6CB">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陈灿.网络虚拟财产继承的法律问题研究[J].广西政法管理干部学院学报,2017,32</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(06):106-111.</w:t>
      </w:r>
    </w:p>
    <w:p w14:paraId="64E05ADC">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陈鑫强.论网络虚拟财产的法律属性和继承问题[J].现代交际,2016,(06):15-16.</w:t>
      </w:r>
    </w:p>
    <w:p w14:paraId="31D28895">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中国法制出版社.继承法新解读[M].</w:t>
      </w:r>
      <w:r>
        <w:rPr>
          <w:rFonts w:hint="eastAsia" w:ascii="Times New Roman" w:hAnsi="Times New Roman" w:eastAsia="宋体" w:cs="Times New Roman"/>
          <w:sz w:val="24"/>
          <w:szCs w:val="24"/>
          <w:lang w:val="en-US" w:eastAsia="zh-CN"/>
        </w:rPr>
        <w:t>北京:</w:t>
      </w:r>
      <w:r>
        <w:rPr>
          <w:rFonts w:hint="default" w:ascii="Times New Roman" w:hAnsi="Times New Roman" w:eastAsia="宋体" w:cs="Times New Roman"/>
          <w:sz w:val="24"/>
          <w:szCs w:val="24"/>
        </w:rPr>
        <w:t>中国法治出版社</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2017</w:t>
      </w:r>
      <w:r>
        <w:rPr>
          <w:rFonts w:hint="eastAsia" w:ascii="Times New Roman" w:hAnsi="Times New Roman" w:eastAsia="宋体" w:cs="Times New Roman"/>
          <w:sz w:val="24"/>
          <w:szCs w:val="24"/>
          <w:lang w:val="en-US" w:eastAsia="zh-CN"/>
        </w:rPr>
        <w:t>:99</w:t>
      </w:r>
      <w:r>
        <w:rPr>
          <w:rFonts w:hint="default" w:ascii="Times New Roman" w:hAnsi="Times New Roman" w:eastAsia="宋体" w:cs="Times New Roman"/>
          <w:sz w:val="24"/>
          <w:szCs w:val="24"/>
        </w:rPr>
        <w:t>.</w:t>
      </w:r>
    </w:p>
    <w:p w14:paraId="58935746">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贾章范.网络虚拟财产的法律性质及纠纷解决机制[C]</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《上海法学研究》集刊（2021年第11卷 总第59卷）——上海市法学会法学期刊研究会文集,2021:122-129.</w:t>
      </w:r>
    </w:p>
    <w:p w14:paraId="4BB8F8FD">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张燕雨.网络虚拟财产继承法律问题研究[D].</w:t>
      </w:r>
      <w:r>
        <w:rPr>
          <w:rFonts w:hint="eastAsia" w:ascii="Times New Roman" w:hAnsi="Times New Roman" w:eastAsia="宋体" w:cs="Times New Roman"/>
          <w:sz w:val="24"/>
          <w:szCs w:val="24"/>
          <w:lang w:val="en-US" w:eastAsia="zh-CN"/>
        </w:rPr>
        <w:t>武汉:</w:t>
      </w:r>
      <w:r>
        <w:rPr>
          <w:rFonts w:hint="default" w:ascii="Times New Roman" w:hAnsi="Times New Roman" w:eastAsia="宋体" w:cs="Times New Roman"/>
          <w:sz w:val="24"/>
          <w:szCs w:val="24"/>
        </w:rPr>
        <w:t>武汉工程大学,2024.</w:t>
      </w:r>
    </w:p>
    <w:p w14:paraId="66128A34">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郭小龙.网络虚拟财产继承法律问题研究[D].</w:t>
      </w:r>
      <w:r>
        <w:rPr>
          <w:rFonts w:hint="eastAsia" w:ascii="Times New Roman" w:hAnsi="Times New Roman" w:eastAsia="宋体" w:cs="Times New Roman"/>
          <w:sz w:val="24"/>
          <w:szCs w:val="24"/>
          <w:lang w:val="en-US" w:eastAsia="zh-CN"/>
        </w:rPr>
        <w:t>昆明:</w:t>
      </w:r>
      <w:r>
        <w:rPr>
          <w:rFonts w:hint="default" w:ascii="Times New Roman" w:hAnsi="Times New Roman" w:eastAsia="宋体" w:cs="Times New Roman"/>
          <w:sz w:val="24"/>
          <w:szCs w:val="24"/>
        </w:rPr>
        <w:t>云南大学,2023.</w:t>
      </w:r>
    </w:p>
    <w:p w14:paraId="4771E9C2">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杨宝平.网络虚拟财产继承法律问题研究[D].</w:t>
      </w:r>
      <w:r>
        <w:rPr>
          <w:rFonts w:hint="eastAsia" w:ascii="Times New Roman" w:hAnsi="Times New Roman" w:eastAsia="宋体" w:cs="Times New Roman"/>
          <w:sz w:val="24"/>
          <w:szCs w:val="24"/>
          <w:lang w:val="en-US" w:eastAsia="zh-CN"/>
        </w:rPr>
        <w:t>兰州:</w:t>
      </w:r>
      <w:r>
        <w:rPr>
          <w:rFonts w:hint="default" w:ascii="Times New Roman" w:hAnsi="Times New Roman" w:eastAsia="宋体" w:cs="Times New Roman"/>
          <w:sz w:val="24"/>
          <w:szCs w:val="24"/>
        </w:rPr>
        <w:t>兰州大学,2022.</w:t>
      </w:r>
    </w:p>
    <w:p w14:paraId="2566C5DE">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刘华.继承法视角下网络虚拟财产的法律问题研究[J].法制博览,2021,(16):82-83.</w:t>
      </w:r>
    </w:p>
    <w:p w14:paraId="0D8BF3BA">
      <w:pPr>
        <w:keepNext w:val="0"/>
        <w:keepLines w:val="0"/>
        <w:pageBreakBefore w:val="0"/>
        <w:widowControl w:val="0"/>
        <w:numPr>
          <w:ilvl w:val="0"/>
          <w:numId w:val="1"/>
        </w:numPr>
        <w:kinsoku/>
        <w:wordWrap/>
        <w:overflowPunct/>
        <w:topLinePunct w:val="0"/>
        <w:autoSpaceDE/>
        <w:autoSpaceDN/>
        <w:bidi w:val="0"/>
        <w:adjustRightInd/>
        <w:snapToGrid w:val="0"/>
        <w:spacing w:before="32" w:beforeLines="10" w:after="32" w:afterLines="10" w:line="312" w:lineRule="auto"/>
        <w:ind w:left="480" w:leftChars="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刘建庄.网络虚拟财产继承问题研究[J].公关世界,2021,(03):32-33.</w:t>
      </w:r>
    </w:p>
    <w:p w14:paraId="2EA6F5A7">
      <w:pPr>
        <w:rPr>
          <w:rFonts w:hint="default"/>
        </w:rPr>
      </w:pPr>
    </w:p>
    <w:p w14:paraId="6FB680B2">
      <w:pPr>
        <w:keepNext w:val="0"/>
        <w:keepLines w:val="0"/>
        <w:pageBreakBefore w:val="0"/>
        <w:widowControl w:val="0"/>
        <w:numPr>
          <w:ilvl w:val="0"/>
          <w:numId w:val="2"/>
        </w:numPr>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color w:val="auto"/>
          <w:sz w:val="24"/>
          <w:szCs w:val="24"/>
        </w:rPr>
        <w:sectPr>
          <w:headerReference r:id="rId24" w:type="default"/>
          <w:footnotePr>
            <w:numFmt w:val="decimalEnclosedCircleChinese"/>
            <w:numRestart w:val="eachPage"/>
          </w:footnotePr>
          <w:pgSz w:w="11905" w:h="16838"/>
          <w:pgMar w:top="1587" w:right="1417" w:bottom="1587" w:left="1417" w:header="1134"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0AE4B08B">
      <w:pPr>
        <w:pStyle w:val="2"/>
        <w:bidi w:val="0"/>
        <w:rPr>
          <w:rFonts w:hint="default"/>
        </w:rPr>
      </w:pPr>
      <w:bookmarkStart w:id="192" w:name="_Toc12215"/>
      <w:bookmarkStart w:id="193" w:name="_Toc15310"/>
      <w:r>
        <w:rPr>
          <w:rFonts w:hint="default"/>
        </w:rPr>
        <w:t>致  谢</w:t>
      </w:r>
      <w:bookmarkEnd w:id="192"/>
      <w:bookmarkEnd w:id="193"/>
    </w:p>
    <w:p w14:paraId="2E9C9C3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宋体" w:cs="Times New Roman"/>
          <w:color w:val="auto"/>
          <w:sz w:val="24"/>
          <w:szCs w:val="20"/>
        </w:rPr>
      </w:pPr>
      <w:r>
        <w:rPr>
          <w:rFonts w:hint="default" w:ascii="Times New Roman" w:hAnsi="Times New Roman" w:eastAsia="宋体" w:cs="Times New Roman"/>
          <w:color w:val="auto"/>
          <w:sz w:val="24"/>
          <w:szCs w:val="20"/>
        </w:rPr>
        <w:t>落笔至此，窗外的夜色已深。电脑屏幕的微光映照着案头堆积的文献，恍然惊觉这段学术苦旅已近终点。此刻，万千思绪涌上心头，化作最诚挚的感恩。</w:t>
      </w:r>
    </w:p>
    <w:p w14:paraId="7448363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宋体" w:cs="Times New Roman"/>
          <w:color w:val="auto"/>
          <w:sz w:val="24"/>
          <w:szCs w:val="20"/>
        </w:rPr>
      </w:pPr>
      <w:r>
        <w:rPr>
          <w:rFonts w:hint="default" w:ascii="Times New Roman" w:hAnsi="Times New Roman" w:eastAsia="宋体" w:cs="Times New Roman"/>
          <w:color w:val="auto"/>
          <w:sz w:val="24"/>
          <w:szCs w:val="20"/>
        </w:rPr>
        <w:t>首先要感谢我的导师，从论文选题、框架搭建到最终定稿，导师始终给予我耐心的指导和宝贵的建议。他严谨的学术态度、渊博的专业知识以及精益求精的治学精神，使我受益匪浅，并激励我在学术研究的道路上不断进步。</w:t>
      </w:r>
    </w:p>
    <w:p w14:paraId="64F4EDA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宋体" w:cs="Times New Roman"/>
          <w:color w:val="auto"/>
          <w:sz w:val="24"/>
          <w:szCs w:val="20"/>
        </w:rPr>
      </w:pPr>
      <w:r>
        <w:rPr>
          <w:rFonts w:hint="eastAsia" w:ascii="Times New Roman" w:hAnsi="Times New Roman" w:eastAsia="宋体" w:cs="Times New Roman"/>
          <w:color w:val="auto"/>
          <w:sz w:val="24"/>
          <w:szCs w:val="20"/>
          <w:lang w:val="en-US" w:eastAsia="zh-CN"/>
        </w:rPr>
        <w:t>其次</w:t>
      </w:r>
      <w:r>
        <w:rPr>
          <w:rFonts w:hint="default" w:ascii="Times New Roman" w:hAnsi="Times New Roman" w:eastAsia="宋体" w:cs="Times New Roman"/>
          <w:color w:val="auto"/>
          <w:sz w:val="24"/>
          <w:szCs w:val="20"/>
        </w:rPr>
        <w:t>，感谢我的同学和朋友们，在论文写作期间给予我的鼓励和帮助。与他们进行的学术讨论和思想交流，为我的研究提供了许多灵感和支持。</w:t>
      </w:r>
    </w:p>
    <w:p w14:paraId="1317F50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宋体" w:cs="Times New Roman"/>
          <w:color w:val="auto"/>
          <w:sz w:val="24"/>
          <w:szCs w:val="20"/>
        </w:rPr>
      </w:pPr>
      <w:r>
        <w:rPr>
          <w:rFonts w:hint="default" w:ascii="Times New Roman" w:hAnsi="Times New Roman" w:eastAsia="宋体" w:cs="Times New Roman"/>
          <w:color w:val="auto"/>
          <w:sz w:val="24"/>
          <w:szCs w:val="20"/>
        </w:rPr>
        <w:t>最后，我要特别感谢我的家人。正是他们无条件的理解、支持和关爱，让我能够全身心投入学术研究，并顺利完成论文写作。</w:t>
      </w:r>
    </w:p>
    <w:p w14:paraId="7064604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宋体" w:cs="Times New Roman"/>
          <w:color w:val="auto"/>
          <w:sz w:val="24"/>
          <w:szCs w:val="20"/>
        </w:rPr>
      </w:pPr>
      <w:r>
        <w:rPr>
          <w:rFonts w:hint="default" w:ascii="Times New Roman" w:hAnsi="Times New Roman" w:eastAsia="宋体" w:cs="Times New Roman"/>
          <w:color w:val="auto"/>
          <w:sz w:val="24"/>
          <w:szCs w:val="20"/>
        </w:rPr>
        <w:t>纸短情长，所有的感激都难以尽述。愿以这篇尚显青涩的论文，献给所有点亮我学术之路的明灯。未来的日子里，我定当怀揣这份感恩继续求索，不负所望。</w:t>
      </w:r>
    </w:p>
    <w:p w14:paraId="54F21FB5">
      <w:pPr>
        <w:pageBreakBefore w:val="0"/>
        <w:widowControl w:val="0"/>
        <w:kinsoku/>
        <w:wordWrap/>
        <w:overflowPunct/>
        <w:topLinePunct w:val="0"/>
        <w:autoSpaceDE/>
        <w:autoSpaceDN/>
        <w:bidi w:val="0"/>
        <w:textAlignment w:val="auto"/>
        <w:rPr>
          <w:rFonts w:hint="default" w:ascii="Times New Roman" w:hAnsi="Times New Roman" w:cs="Times New Roman"/>
          <w:color w:val="auto"/>
        </w:rPr>
      </w:pPr>
    </w:p>
    <w:sectPr>
      <w:headerReference r:id="rId25" w:type="default"/>
      <w:headerReference r:id="rId26" w:type="even"/>
      <w:footnotePr>
        <w:numFmt w:val="decimalEnclosedCircleChinese"/>
        <w:numRestart w:val="eachPage"/>
      </w:footnotePr>
      <w:pgSz w:w="11905" w:h="16838"/>
      <w:pgMar w:top="1587" w:right="1417" w:bottom="1587" w:left="1417" w:header="1134" w:footer="1134" w:gutter="0"/>
      <w:pgBorders>
        <w:top w:val="none" w:sz="0" w:space="0"/>
        <w:left w:val="none" w:sz="0" w:space="0"/>
        <w:bottom w:val="none" w:sz="0" w:space="0"/>
        <w:right w:val="none" w:sz="0" w:space="0"/>
      </w:pgBorders>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FF9B1">
    <w:pPr>
      <w:pStyle w:val="13"/>
      <w:jc w:val="center"/>
      <w:rPr>
        <w:rFonts w:hint="eastAsia"/>
        <w:sz w:val="21"/>
        <w:szCs w:val="28"/>
      </w:rPr>
    </w:pPr>
    <w:r>
      <w:rPr>
        <w:sz w:val="21"/>
        <w:szCs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C576BA">
                          <w:pPr>
                            <w:pStyle w:val="13"/>
                            <w:rPr>
                              <w:rFonts w:hint="eastAsia"/>
                              <w:sz w:val="21"/>
                              <w:szCs w:val="28"/>
                            </w:rPr>
                          </w:pPr>
                          <w:r>
                            <w:rPr>
                              <w:rFonts w:ascii="Times New Roman" w:hAnsi="Times New Roman" w:eastAsia="宋体" w:cs="Times New Roman"/>
                              <w:sz w:val="21"/>
                              <w:szCs w:val="28"/>
                            </w:rPr>
                            <w:fldChar w:fldCharType="begin"/>
                          </w:r>
                          <w:r>
                            <w:rPr>
                              <w:rFonts w:ascii="Times New Roman" w:hAnsi="Times New Roman" w:eastAsia="宋体" w:cs="Times New Roman"/>
                              <w:sz w:val="21"/>
                              <w:szCs w:val="28"/>
                            </w:rPr>
                            <w:instrText xml:space="preserve"> PAGE  \* MERGEFORMAT </w:instrText>
                          </w:r>
                          <w:r>
                            <w:rPr>
                              <w:rFonts w:ascii="Times New Roman" w:hAnsi="Times New Roman" w:eastAsia="宋体" w:cs="Times New Roman"/>
                              <w:sz w:val="21"/>
                              <w:szCs w:val="28"/>
                            </w:rPr>
                            <w:fldChar w:fldCharType="separate"/>
                          </w:r>
                          <w:r>
                            <w:rPr>
                              <w:rFonts w:ascii="Times New Roman" w:hAnsi="Times New Roman" w:eastAsia="宋体" w:cs="Times New Roman"/>
                              <w:sz w:val="21"/>
                              <w:szCs w:val="28"/>
                            </w:rPr>
                            <w:t>III</w:t>
                          </w:r>
                          <w:r>
                            <w:rPr>
                              <w:rFonts w:ascii="Times New Roman" w:hAnsi="Times New Roman" w:eastAsia="宋体" w:cs="Times New Roman"/>
                              <w:sz w:val="21"/>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2C576BA">
                    <w:pPr>
                      <w:pStyle w:val="13"/>
                      <w:rPr>
                        <w:rFonts w:hint="eastAsia"/>
                        <w:sz w:val="21"/>
                        <w:szCs w:val="28"/>
                      </w:rPr>
                    </w:pPr>
                    <w:r>
                      <w:rPr>
                        <w:rFonts w:ascii="Times New Roman" w:hAnsi="Times New Roman" w:eastAsia="宋体" w:cs="Times New Roman"/>
                        <w:sz w:val="21"/>
                        <w:szCs w:val="28"/>
                      </w:rPr>
                      <w:fldChar w:fldCharType="begin"/>
                    </w:r>
                    <w:r>
                      <w:rPr>
                        <w:rFonts w:ascii="Times New Roman" w:hAnsi="Times New Roman" w:eastAsia="宋体" w:cs="Times New Roman"/>
                        <w:sz w:val="21"/>
                        <w:szCs w:val="28"/>
                      </w:rPr>
                      <w:instrText xml:space="preserve"> PAGE  \* MERGEFORMAT </w:instrText>
                    </w:r>
                    <w:r>
                      <w:rPr>
                        <w:rFonts w:ascii="Times New Roman" w:hAnsi="Times New Roman" w:eastAsia="宋体" w:cs="Times New Roman"/>
                        <w:sz w:val="21"/>
                        <w:szCs w:val="28"/>
                      </w:rPr>
                      <w:fldChar w:fldCharType="separate"/>
                    </w:r>
                    <w:r>
                      <w:rPr>
                        <w:rFonts w:ascii="Times New Roman" w:hAnsi="Times New Roman" w:eastAsia="宋体" w:cs="Times New Roman"/>
                        <w:sz w:val="21"/>
                        <w:szCs w:val="28"/>
                      </w:rPr>
                      <w:t>III</w:t>
                    </w:r>
                    <w:r>
                      <w:rPr>
                        <w:rFonts w:ascii="Times New Roman" w:hAnsi="Times New Roman" w:eastAsia="宋体" w:cs="Times New Roman"/>
                        <w:sz w:val="21"/>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10E05">
    <w:pPr>
      <w:pStyle w:val="13"/>
      <w:tabs>
        <w:tab w:val="clear" w:pos="4153"/>
      </w:tabs>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D335CF">
                          <w:pPr>
                            <w:pStyle w:val="13"/>
                            <w:rPr>
                              <w:rFonts w:hint="default" w:ascii="Times New Roman" w:hAnsi="Times New Roman" w:cs="Times New Roman"/>
                              <w:sz w:val="21"/>
                              <w:szCs w:val="28"/>
                            </w:rPr>
                          </w:pPr>
                          <w:r>
                            <w:rPr>
                              <w:rFonts w:hint="default" w:ascii="Times New Roman" w:hAnsi="Times New Roman" w:cs="Times New Roman"/>
                              <w:sz w:val="21"/>
                              <w:szCs w:val="28"/>
                            </w:rPr>
                            <w:fldChar w:fldCharType="begin"/>
                          </w:r>
                          <w:r>
                            <w:rPr>
                              <w:rFonts w:hint="default" w:ascii="Times New Roman" w:hAnsi="Times New Roman" w:cs="Times New Roman"/>
                              <w:sz w:val="21"/>
                              <w:szCs w:val="28"/>
                            </w:rPr>
                            <w:instrText xml:space="preserve"> PAGE  \* MERGEFORMAT </w:instrText>
                          </w:r>
                          <w:r>
                            <w:rPr>
                              <w:rFonts w:hint="default" w:ascii="Times New Roman" w:hAnsi="Times New Roman" w:cs="Times New Roman"/>
                              <w:sz w:val="21"/>
                              <w:szCs w:val="28"/>
                            </w:rPr>
                            <w:fldChar w:fldCharType="separate"/>
                          </w:r>
                          <w:r>
                            <w:rPr>
                              <w:rFonts w:hint="default" w:ascii="Times New Roman" w:hAnsi="Times New Roman" w:cs="Times New Roman"/>
                              <w:sz w:val="21"/>
                              <w:szCs w:val="28"/>
                            </w:rPr>
                            <w:t>2</w:t>
                          </w:r>
                          <w:r>
                            <w:rPr>
                              <w:rFonts w:hint="default" w:ascii="Times New Roman" w:hAnsi="Times New Roman" w:cs="Times New Roman"/>
                              <w:sz w:val="21"/>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AD335CF">
                    <w:pPr>
                      <w:pStyle w:val="13"/>
                      <w:rPr>
                        <w:rFonts w:hint="default" w:ascii="Times New Roman" w:hAnsi="Times New Roman" w:cs="Times New Roman"/>
                        <w:sz w:val="21"/>
                        <w:szCs w:val="28"/>
                      </w:rPr>
                    </w:pPr>
                    <w:r>
                      <w:rPr>
                        <w:rFonts w:hint="default" w:ascii="Times New Roman" w:hAnsi="Times New Roman" w:cs="Times New Roman"/>
                        <w:sz w:val="21"/>
                        <w:szCs w:val="28"/>
                      </w:rPr>
                      <w:fldChar w:fldCharType="begin"/>
                    </w:r>
                    <w:r>
                      <w:rPr>
                        <w:rFonts w:hint="default" w:ascii="Times New Roman" w:hAnsi="Times New Roman" w:cs="Times New Roman"/>
                        <w:sz w:val="21"/>
                        <w:szCs w:val="28"/>
                      </w:rPr>
                      <w:instrText xml:space="preserve"> PAGE  \* MERGEFORMAT </w:instrText>
                    </w:r>
                    <w:r>
                      <w:rPr>
                        <w:rFonts w:hint="default" w:ascii="Times New Roman" w:hAnsi="Times New Roman" w:cs="Times New Roman"/>
                        <w:sz w:val="21"/>
                        <w:szCs w:val="28"/>
                      </w:rPr>
                      <w:fldChar w:fldCharType="separate"/>
                    </w:r>
                    <w:r>
                      <w:rPr>
                        <w:rFonts w:hint="default" w:ascii="Times New Roman" w:hAnsi="Times New Roman" w:cs="Times New Roman"/>
                        <w:sz w:val="21"/>
                        <w:szCs w:val="28"/>
                      </w:rPr>
                      <w:t>2</w:t>
                    </w:r>
                    <w:r>
                      <w:rPr>
                        <w:rFonts w:hint="default" w:ascii="Times New Roman" w:hAnsi="Times New Roman" w:cs="Times New Roman"/>
                        <w:sz w:val="21"/>
                        <w:szCs w:val="2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123FE">
    <w:pPr>
      <w:pStyle w:val="13"/>
      <w:jc w:val="center"/>
      <w:rPr>
        <w:rFonts w:hint="eastAsia"/>
        <w:sz w:val="21"/>
        <w:szCs w:val="28"/>
      </w:rPr>
    </w:pPr>
    <w:r>
      <w:rPr>
        <w:sz w:val="21"/>
        <w:szCs w:val="28"/>
      </w:rPr>
      <mc:AlternateContent>
        <mc:Choice Requires="wps">
          <w:drawing>
            <wp:anchor distT="0" distB="0" distL="114300" distR="114300" simplePos="0" relativeHeight="251662336" behindDoc="0" locked="0" layoutInCell="1" allowOverlap="1">
              <wp:simplePos x="0" y="0"/>
              <wp:positionH relativeFrom="margin">
                <wp:posOffset>2854960</wp:posOffset>
              </wp:positionH>
              <wp:positionV relativeFrom="paragraph">
                <wp:posOffset>0</wp:posOffset>
              </wp:positionV>
              <wp:extent cx="140970" cy="15176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40970" cy="1517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DA867B">
                          <w:pPr>
                            <w:pStyle w:val="13"/>
                            <w:rPr>
                              <w:rFonts w:hint="eastAsia"/>
                              <w:sz w:val="21"/>
                              <w:szCs w:val="28"/>
                            </w:rPr>
                          </w:pPr>
                          <w:r>
                            <w:rPr>
                              <w:rFonts w:ascii="Times New Roman" w:hAnsi="Times New Roman" w:eastAsia="宋体" w:cs="Times New Roman"/>
                              <w:sz w:val="21"/>
                              <w:szCs w:val="28"/>
                            </w:rPr>
                            <w:fldChar w:fldCharType="begin"/>
                          </w:r>
                          <w:r>
                            <w:rPr>
                              <w:rFonts w:ascii="Times New Roman" w:hAnsi="Times New Roman" w:eastAsia="宋体" w:cs="Times New Roman"/>
                              <w:sz w:val="21"/>
                              <w:szCs w:val="28"/>
                            </w:rPr>
                            <w:instrText xml:space="preserve"> PAGE  \* MERGEFORMAT </w:instrText>
                          </w:r>
                          <w:r>
                            <w:rPr>
                              <w:rFonts w:ascii="Times New Roman" w:hAnsi="Times New Roman" w:eastAsia="宋体" w:cs="Times New Roman"/>
                              <w:sz w:val="21"/>
                              <w:szCs w:val="28"/>
                            </w:rPr>
                            <w:fldChar w:fldCharType="separate"/>
                          </w:r>
                          <w:r>
                            <w:rPr>
                              <w:rFonts w:ascii="Times New Roman" w:hAnsi="Times New Roman" w:eastAsia="宋体" w:cs="Times New Roman"/>
                              <w:sz w:val="21"/>
                              <w:szCs w:val="28"/>
                            </w:rPr>
                            <w:t>III</w:t>
                          </w:r>
                          <w:r>
                            <w:rPr>
                              <w:rFonts w:ascii="Times New Roman" w:hAnsi="Times New Roman" w:eastAsia="宋体" w:cs="Times New Roman"/>
                              <w:sz w:val="21"/>
                              <w:szCs w:val="28"/>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24.8pt;margin-top:0pt;height:11.95pt;width:11.1pt;mso-position-horizontal-relative:margin;z-index:251662336;mso-width-relative:page;mso-height-relative:page;" filled="f" stroked="f" coordsize="21600,21600" o:gfxdata="UEsDBAoAAAAAAIdO4kAAAAAAAAAAAAAAAAAEAAAAZHJzL1BLAwQUAAAACACHTuJALchSe9YAAAAH&#10;AQAADwAAAGRycy9kb3ducmV2LnhtbE2PzU7DMBCE70i8g7VI3KidEhUasumBnxtQKCDBzYlNEmGv&#10;o9hJy9uznOA4mtHMN+Xm4J2Y7Rj7QAjZQoGw1ATTU4vw+nJ3dgkiJk1Gu0AW4dtG2FTHR6UuTNjT&#10;s513qRVcQrHQCF1KQyFlbDrrdVyEwRJ7n2H0OrEcW2lGvedy7+RSqZX0uide6PRgrzvbfO0mj+De&#10;43hfq/Qx37QP6Wkrp7fb7BHx9CRTVyCSPaS/MPziMzpUzFSHiUwUDiHP1yuOIvAjtvOLjJ/UCMvz&#10;NciqlP/5qx9QSwMEFAAAAAgAh07iQIKAFBkxAgAAVQQAAA4AAABkcnMvZTJvRG9jLnhtbK1UwY7T&#10;MBC9I/EPlu806ZZ2oWq6KlsVIVXsSgVxdh27sWR7jO02KR8Af8CJC3e+q9/BOGm6aOGwBy7uxDN+&#10;M+/NTGc3jdHkIHxQYAs6HOSUCMuhVHZX0I8fVi9eURIisyXTYEVBjyLQm/nzZ7PaTcUVVKBL4QmC&#10;2DCtXUGrGN00ywKvhGFhAE5YdErwhkX89Lus9KxGdKOzqzyfZDX40nngIgS8XXZOekb0TwEEKRUX&#10;S+B7I2zsUL3QLCKlUCkX6LytVkrB452UQUSiC4pMY3tiErS36czmMzbdeeYqxc8lsKeU8IiTYcpi&#10;0gvUkkVG9l79BWUU9xBAxgEHk3VEWkWQxTB/pM2mYk60XFDq4C6ih/8Hy98f7j1RZUFHlFhmsOGn&#10;799OP36dfn4loyRP7cIUozYO42LzBhocmv4+4GVi3Uhv0i/yIehHcY8XcUUTCU+PXuavr9HD0TUc&#10;D68n44SSPTx2PsS3AgxJRkE99q6VlB3WIXahfUjKZWGltG77py2pCzoZjfP2wcWD4NpijkShKzVZ&#10;sdk2Z15bKI9Iy0M3F8HxlcLkaxbiPfM4CFgvrkq8w0NqwCRwtiipwH/5132Kx/6gl5IaB6ug4fOe&#10;eUGJfmexcwgZe8P3xrY37N7cAs7qEJfQ8dbEBz7q3pQezCfcoEXKgi5mOeYqaOzN29iNN24gF4tF&#10;G4Sz5lhc243jCbqTb7GPIFWrbJKl0+KsFk5b25vzZqRx/vO7jXr4N5j/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3IUnvWAAAABwEAAA8AAAAAAAAAAQAgAAAAIgAAAGRycy9kb3ducmV2LnhtbFBL&#10;AQIUABQAAAAIAIdO4kCCgBQZMQIAAFUEAAAOAAAAAAAAAAEAIAAAACUBAABkcnMvZTJvRG9jLnht&#10;bFBLBQYAAAAABgAGAFkBAADIBQAAAAA=&#10;">
              <v:fill on="f" focussize="0,0"/>
              <v:stroke on="f" weight="0.5pt"/>
              <v:imagedata o:title=""/>
              <o:lock v:ext="edit" aspectratio="f"/>
              <v:textbox inset="0mm,0mm,0mm,0mm">
                <w:txbxContent>
                  <w:p w14:paraId="2CDA867B">
                    <w:pPr>
                      <w:pStyle w:val="13"/>
                      <w:rPr>
                        <w:rFonts w:hint="eastAsia"/>
                        <w:sz w:val="21"/>
                        <w:szCs w:val="28"/>
                      </w:rPr>
                    </w:pPr>
                    <w:r>
                      <w:rPr>
                        <w:rFonts w:ascii="Times New Roman" w:hAnsi="Times New Roman" w:eastAsia="宋体" w:cs="Times New Roman"/>
                        <w:sz w:val="21"/>
                        <w:szCs w:val="28"/>
                      </w:rPr>
                      <w:fldChar w:fldCharType="begin"/>
                    </w:r>
                    <w:r>
                      <w:rPr>
                        <w:rFonts w:ascii="Times New Roman" w:hAnsi="Times New Roman" w:eastAsia="宋体" w:cs="Times New Roman"/>
                        <w:sz w:val="21"/>
                        <w:szCs w:val="28"/>
                      </w:rPr>
                      <w:instrText xml:space="preserve"> PAGE  \* MERGEFORMAT </w:instrText>
                    </w:r>
                    <w:r>
                      <w:rPr>
                        <w:rFonts w:ascii="Times New Roman" w:hAnsi="Times New Roman" w:eastAsia="宋体" w:cs="Times New Roman"/>
                        <w:sz w:val="21"/>
                        <w:szCs w:val="28"/>
                      </w:rPr>
                      <w:fldChar w:fldCharType="separate"/>
                    </w:r>
                    <w:r>
                      <w:rPr>
                        <w:rFonts w:ascii="Times New Roman" w:hAnsi="Times New Roman" w:eastAsia="宋体" w:cs="Times New Roman"/>
                        <w:sz w:val="21"/>
                        <w:szCs w:val="28"/>
                      </w:rPr>
                      <w:t>III</w:t>
                    </w:r>
                    <w:r>
                      <w:rPr>
                        <w:rFonts w:ascii="Times New Roman" w:hAnsi="Times New Roman" w:eastAsia="宋体" w:cs="Times New Roman"/>
                        <w:sz w:val="21"/>
                        <w:szCs w:val="2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4F7DC">
    <w:pPr>
      <w:pStyle w:val="13"/>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36E16D">
                          <w:pPr>
                            <w:pStyle w:val="13"/>
                            <w:rPr>
                              <w:rFonts w:hint="eastAsia"/>
                            </w:rPr>
                          </w:pPr>
                          <w:r>
                            <w:rPr>
                              <w:rFonts w:ascii="Times New Roman" w:hAnsi="Times New Roman" w:cs="Times New Roman"/>
                              <w:sz w:val="21"/>
                              <w:szCs w:val="28"/>
                            </w:rPr>
                            <w:fldChar w:fldCharType="begin"/>
                          </w:r>
                          <w:r>
                            <w:rPr>
                              <w:rFonts w:ascii="Times New Roman" w:hAnsi="Times New Roman" w:cs="Times New Roman"/>
                              <w:sz w:val="21"/>
                              <w:szCs w:val="28"/>
                            </w:rPr>
                            <w:instrText xml:space="preserve"> PAGE  \* MERGEFORMAT </w:instrText>
                          </w:r>
                          <w:r>
                            <w:rPr>
                              <w:rFonts w:ascii="Times New Roman" w:hAnsi="Times New Roman" w:cs="Times New Roman"/>
                              <w:sz w:val="21"/>
                              <w:szCs w:val="28"/>
                            </w:rPr>
                            <w:fldChar w:fldCharType="separate"/>
                          </w:r>
                          <w:r>
                            <w:rPr>
                              <w:rFonts w:ascii="Times New Roman" w:hAnsi="Times New Roman" w:cs="Times New Roman"/>
                              <w:sz w:val="21"/>
                              <w:szCs w:val="28"/>
                            </w:rPr>
                            <w:t>3</w:t>
                          </w:r>
                          <w:r>
                            <w:rPr>
                              <w:rFonts w:ascii="Times New Roman" w:hAnsi="Times New Roman" w:cs="Times New Roman"/>
                              <w:sz w:val="21"/>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F36E16D">
                    <w:pPr>
                      <w:pStyle w:val="13"/>
                      <w:rPr>
                        <w:rFonts w:hint="eastAsia"/>
                      </w:rPr>
                    </w:pPr>
                    <w:r>
                      <w:rPr>
                        <w:rFonts w:ascii="Times New Roman" w:hAnsi="Times New Roman" w:cs="Times New Roman"/>
                        <w:sz w:val="21"/>
                        <w:szCs w:val="28"/>
                      </w:rPr>
                      <w:fldChar w:fldCharType="begin"/>
                    </w:r>
                    <w:r>
                      <w:rPr>
                        <w:rFonts w:ascii="Times New Roman" w:hAnsi="Times New Roman" w:cs="Times New Roman"/>
                        <w:sz w:val="21"/>
                        <w:szCs w:val="28"/>
                      </w:rPr>
                      <w:instrText xml:space="preserve"> PAGE  \* MERGEFORMAT </w:instrText>
                    </w:r>
                    <w:r>
                      <w:rPr>
                        <w:rFonts w:ascii="Times New Roman" w:hAnsi="Times New Roman" w:cs="Times New Roman"/>
                        <w:sz w:val="21"/>
                        <w:szCs w:val="28"/>
                      </w:rPr>
                      <w:fldChar w:fldCharType="separate"/>
                    </w:r>
                    <w:r>
                      <w:rPr>
                        <w:rFonts w:ascii="Times New Roman" w:hAnsi="Times New Roman" w:cs="Times New Roman"/>
                        <w:sz w:val="21"/>
                        <w:szCs w:val="28"/>
                      </w:rPr>
                      <w:t>3</w:t>
                    </w:r>
                    <w:r>
                      <w:rPr>
                        <w:rFonts w:ascii="Times New Roman" w:hAnsi="Times New Roman" w:cs="Times New Roman"/>
                        <w:sz w:val="21"/>
                        <w:szCs w:val="2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ED4DA">
    <w:pPr>
      <w:pStyle w:val="13"/>
      <w:tabs>
        <w:tab w:val="clear" w:pos="4153"/>
      </w:tabs>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87DAFD">
                          <w:pPr>
                            <w:pStyle w:val="13"/>
                            <w:rPr>
                              <w:rFonts w:hint="default" w:ascii="Times New Roman" w:hAnsi="Times New Roman" w:cs="Times New Roman"/>
                              <w:sz w:val="21"/>
                              <w:szCs w:val="28"/>
                            </w:rPr>
                          </w:pPr>
                          <w:r>
                            <w:rPr>
                              <w:rFonts w:hint="default" w:ascii="Times New Roman" w:hAnsi="Times New Roman" w:cs="Times New Roman"/>
                              <w:sz w:val="21"/>
                              <w:szCs w:val="28"/>
                            </w:rPr>
                            <w:fldChar w:fldCharType="begin"/>
                          </w:r>
                          <w:r>
                            <w:rPr>
                              <w:rFonts w:hint="default" w:ascii="Times New Roman" w:hAnsi="Times New Roman" w:cs="Times New Roman"/>
                              <w:sz w:val="21"/>
                              <w:szCs w:val="28"/>
                            </w:rPr>
                            <w:instrText xml:space="preserve"> PAGE  \* MERGEFORMAT </w:instrText>
                          </w:r>
                          <w:r>
                            <w:rPr>
                              <w:rFonts w:hint="default" w:ascii="Times New Roman" w:hAnsi="Times New Roman" w:cs="Times New Roman"/>
                              <w:sz w:val="21"/>
                              <w:szCs w:val="28"/>
                            </w:rPr>
                            <w:fldChar w:fldCharType="separate"/>
                          </w:r>
                          <w:r>
                            <w:rPr>
                              <w:rFonts w:hint="default" w:ascii="Times New Roman" w:hAnsi="Times New Roman" w:cs="Times New Roman"/>
                              <w:sz w:val="21"/>
                              <w:szCs w:val="28"/>
                            </w:rPr>
                            <w:t>2</w:t>
                          </w:r>
                          <w:r>
                            <w:rPr>
                              <w:rFonts w:hint="default" w:ascii="Times New Roman" w:hAnsi="Times New Roman" w:cs="Times New Roman"/>
                              <w:sz w:val="21"/>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B87DAFD">
                    <w:pPr>
                      <w:pStyle w:val="13"/>
                      <w:rPr>
                        <w:rFonts w:hint="default" w:ascii="Times New Roman" w:hAnsi="Times New Roman" w:cs="Times New Roman"/>
                        <w:sz w:val="21"/>
                        <w:szCs w:val="28"/>
                      </w:rPr>
                    </w:pPr>
                    <w:r>
                      <w:rPr>
                        <w:rFonts w:hint="default" w:ascii="Times New Roman" w:hAnsi="Times New Roman" w:cs="Times New Roman"/>
                        <w:sz w:val="21"/>
                        <w:szCs w:val="28"/>
                      </w:rPr>
                      <w:fldChar w:fldCharType="begin"/>
                    </w:r>
                    <w:r>
                      <w:rPr>
                        <w:rFonts w:hint="default" w:ascii="Times New Roman" w:hAnsi="Times New Roman" w:cs="Times New Roman"/>
                        <w:sz w:val="21"/>
                        <w:szCs w:val="28"/>
                      </w:rPr>
                      <w:instrText xml:space="preserve"> PAGE  \* MERGEFORMAT </w:instrText>
                    </w:r>
                    <w:r>
                      <w:rPr>
                        <w:rFonts w:hint="default" w:ascii="Times New Roman" w:hAnsi="Times New Roman" w:cs="Times New Roman"/>
                        <w:sz w:val="21"/>
                        <w:szCs w:val="28"/>
                      </w:rPr>
                      <w:fldChar w:fldCharType="separate"/>
                    </w:r>
                    <w:r>
                      <w:rPr>
                        <w:rFonts w:hint="default" w:ascii="Times New Roman" w:hAnsi="Times New Roman" w:cs="Times New Roman"/>
                        <w:sz w:val="21"/>
                        <w:szCs w:val="28"/>
                      </w:rPr>
                      <w:t>2</w:t>
                    </w:r>
                    <w:r>
                      <w:rPr>
                        <w:rFonts w:hint="default" w:ascii="Times New Roman" w:hAnsi="Times New Roman" w:cs="Times New Roman"/>
                        <w:sz w:val="21"/>
                        <w:szCs w:val="2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856EC">
    <w:pPr>
      <w:pStyle w:val="13"/>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38E6AB">
                          <w:pPr>
                            <w:pStyle w:val="13"/>
                            <w:rPr>
                              <w:rFonts w:hint="eastAsia"/>
                            </w:rPr>
                          </w:pPr>
                          <w:r>
                            <w:rPr>
                              <w:rFonts w:ascii="Times New Roman" w:hAnsi="Times New Roman" w:cs="Times New Roman"/>
                              <w:sz w:val="21"/>
                              <w:szCs w:val="28"/>
                            </w:rPr>
                            <w:fldChar w:fldCharType="begin"/>
                          </w:r>
                          <w:r>
                            <w:rPr>
                              <w:rFonts w:ascii="Times New Roman" w:hAnsi="Times New Roman" w:cs="Times New Roman"/>
                              <w:sz w:val="21"/>
                              <w:szCs w:val="28"/>
                            </w:rPr>
                            <w:instrText xml:space="preserve"> PAGE  \* MERGEFORMAT </w:instrText>
                          </w:r>
                          <w:r>
                            <w:rPr>
                              <w:rFonts w:ascii="Times New Roman" w:hAnsi="Times New Roman" w:cs="Times New Roman"/>
                              <w:sz w:val="21"/>
                              <w:szCs w:val="28"/>
                            </w:rPr>
                            <w:fldChar w:fldCharType="separate"/>
                          </w:r>
                          <w:r>
                            <w:rPr>
                              <w:rFonts w:ascii="Times New Roman" w:hAnsi="Times New Roman" w:cs="Times New Roman"/>
                              <w:sz w:val="21"/>
                              <w:szCs w:val="28"/>
                            </w:rPr>
                            <w:t>3</w:t>
                          </w:r>
                          <w:r>
                            <w:rPr>
                              <w:rFonts w:ascii="Times New Roman" w:hAnsi="Times New Roman" w:cs="Times New Roman"/>
                              <w:sz w:val="21"/>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2A38E6AB">
                    <w:pPr>
                      <w:pStyle w:val="13"/>
                      <w:rPr>
                        <w:rFonts w:hint="eastAsia"/>
                      </w:rPr>
                    </w:pPr>
                    <w:r>
                      <w:rPr>
                        <w:rFonts w:ascii="Times New Roman" w:hAnsi="Times New Roman" w:cs="Times New Roman"/>
                        <w:sz w:val="21"/>
                        <w:szCs w:val="28"/>
                      </w:rPr>
                      <w:fldChar w:fldCharType="begin"/>
                    </w:r>
                    <w:r>
                      <w:rPr>
                        <w:rFonts w:ascii="Times New Roman" w:hAnsi="Times New Roman" w:cs="Times New Roman"/>
                        <w:sz w:val="21"/>
                        <w:szCs w:val="28"/>
                      </w:rPr>
                      <w:instrText xml:space="preserve"> PAGE  \* MERGEFORMAT </w:instrText>
                    </w:r>
                    <w:r>
                      <w:rPr>
                        <w:rFonts w:ascii="Times New Roman" w:hAnsi="Times New Roman" w:cs="Times New Roman"/>
                        <w:sz w:val="21"/>
                        <w:szCs w:val="28"/>
                      </w:rPr>
                      <w:fldChar w:fldCharType="separate"/>
                    </w:r>
                    <w:r>
                      <w:rPr>
                        <w:rFonts w:ascii="Times New Roman" w:hAnsi="Times New Roman" w:cs="Times New Roman"/>
                        <w:sz w:val="21"/>
                        <w:szCs w:val="28"/>
                      </w:rPr>
                      <w:t>3</w:t>
                    </w:r>
                    <w:r>
                      <w:rPr>
                        <w:rFonts w:ascii="Times New Roman" w:hAnsi="Times New Roman" w:cs="Times New Roman"/>
                        <w:sz w:val="21"/>
                        <w:szCs w:val="2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1D0E0">
    <w:pPr>
      <w:pStyle w:val="13"/>
      <w:rPr>
        <w:rFonts w:hint="eastAsia"/>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9BDDB1">
                          <w:pPr>
                            <w:pStyle w:val="13"/>
                            <w:rPr>
                              <w:rFonts w:hint="eastAsia"/>
                            </w:rPr>
                          </w:pPr>
                          <w:r>
                            <w:rPr>
                              <w:rFonts w:ascii="Times New Roman" w:hAnsi="Times New Roman" w:cs="Times New Roman"/>
                              <w:sz w:val="21"/>
                              <w:szCs w:val="28"/>
                            </w:rPr>
                            <w:fldChar w:fldCharType="begin"/>
                          </w:r>
                          <w:r>
                            <w:rPr>
                              <w:rFonts w:ascii="Times New Roman" w:hAnsi="Times New Roman" w:cs="Times New Roman"/>
                              <w:sz w:val="21"/>
                              <w:szCs w:val="28"/>
                            </w:rPr>
                            <w:instrText xml:space="preserve"> PAGE  \* MERGEFORMAT </w:instrText>
                          </w:r>
                          <w:r>
                            <w:rPr>
                              <w:rFonts w:ascii="Times New Roman" w:hAnsi="Times New Roman" w:cs="Times New Roman"/>
                              <w:sz w:val="21"/>
                              <w:szCs w:val="28"/>
                            </w:rPr>
                            <w:fldChar w:fldCharType="separate"/>
                          </w:r>
                          <w:r>
                            <w:rPr>
                              <w:rFonts w:ascii="Times New Roman" w:hAnsi="Times New Roman" w:cs="Times New Roman"/>
                              <w:sz w:val="21"/>
                              <w:szCs w:val="28"/>
                            </w:rPr>
                            <w:t>3</w:t>
                          </w:r>
                          <w:r>
                            <w:rPr>
                              <w:rFonts w:ascii="Times New Roman" w:hAnsi="Times New Roman" w:cs="Times New Roman"/>
                              <w:sz w:val="21"/>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09BDDB1">
                    <w:pPr>
                      <w:pStyle w:val="13"/>
                      <w:rPr>
                        <w:rFonts w:hint="eastAsia"/>
                      </w:rPr>
                    </w:pPr>
                    <w:r>
                      <w:rPr>
                        <w:rFonts w:ascii="Times New Roman" w:hAnsi="Times New Roman" w:cs="Times New Roman"/>
                        <w:sz w:val="21"/>
                        <w:szCs w:val="28"/>
                      </w:rPr>
                      <w:fldChar w:fldCharType="begin"/>
                    </w:r>
                    <w:r>
                      <w:rPr>
                        <w:rFonts w:ascii="Times New Roman" w:hAnsi="Times New Roman" w:cs="Times New Roman"/>
                        <w:sz w:val="21"/>
                        <w:szCs w:val="28"/>
                      </w:rPr>
                      <w:instrText xml:space="preserve"> PAGE  \* MERGEFORMAT </w:instrText>
                    </w:r>
                    <w:r>
                      <w:rPr>
                        <w:rFonts w:ascii="Times New Roman" w:hAnsi="Times New Roman" w:cs="Times New Roman"/>
                        <w:sz w:val="21"/>
                        <w:szCs w:val="28"/>
                      </w:rPr>
                      <w:fldChar w:fldCharType="separate"/>
                    </w:r>
                    <w:r>
                      <w:rPr>
                        <w:rFonts w:ascii="Times New Roman" w:hAnsi="Times New Roman" w:cs="Times New Roman"/>
                        <w:sz w:val="21"/>
                        <w:szCs w:val="28"/>
                      </w:rPr>
                      <w:t>3</w:t>
                    </w:r>
                    <w:r>
                      <w:rPr>
                        <w:rFonts w:ascii="Times New Roman" w:hAnsi="Times New Roman" w:cs="Times New Roman"/>
                        <w:sz w:val="21"/>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E9FA0">
    <w:pPr>
      <w:pStyle w:val="14"/>
      <w:widowControl w:val="0"/>
      <w:pBdr>
        <w:top w:val="none" w:color="auto" w:sz="0" w:space="1"/>
        <w:left w:val="none" w:color="auto" w:sz="0" w:space="4"/>
        <w:bottom w:val="thickThinSmallGap" w:color="auto" w:sz="24" w:space="1"/>
        <w:right w:val="none" w:color="auto" w:sz="0" w:space="4"/>
        <w:between w:val="none" w:color="auto" w:sz="0" w:space="0"/>
      </w:pBdr>
      <w:snapToGrid w:val="0"/>
      <w:jc w:val="center"/>
      <w:rPr>
        <w:rFonts w:hint="eastAsia" w:ascii="宋体" w:hAnsi="宋体" w:eastAsia="宋体" w:cs="宋体"/>
        <w:sz w:val="21"/>
        <w:szCs w:val="21"/>
      </w:rPr>
    </w:pPr>
    <w:r>
      <w:rPr>
        <w:rFonts w:hint="eastAsia" w:ascii="宋体" w:hAnsi="宋体" w:eastAsia="宋体" w:cs="宋体"/>
        <w:bCs/>
        <w:snapToGrid w:val="0"/>
        <w:color w:val="000000" w:themeColor="text1"/>
        <w:kern w:val="0"/>
        <w:sz w:val="21"/>
        <w:szCs w:val="21"/>
        <w14:textFill>
          <w14:solidFill>
            <w14:schemeClr w14:val="tx1"/>
          </w14:solidFill>
        </w14:textFill>
      </w:rPr>
      <w:t>网络虚拟财产继承问题的法律规制研究</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DEC76">
    <w:pPr>
      <w:pStyle w:val="14"/>
      <w:pBdr>
        <w:bottom w:val="thickThinSmallGap" w:color="auto" w:sz="24" w:space="0"/>
      </w:pBdr>
      <w:spacing w:line="240" w:lineRule="auto"/>
      <w:jc w:val="center"/>
      <w:rPr>
        <w:rFonts w:hint="eastAsia" w:ascii="宋体" w:hAnsi="宋体" w:eastAsia="宋体" w:cs="宋体"/>
        <w:sz w:val="21"/>
        <w:szCs w:val="21"/>
      </w:rPr>
    </w:pPr>
    <w:r>
      <w:rPr>
        <w:rFonts w:hint="default" w:ascii="Times New Roman" w:hAnsi="Times New Roman" w:eastAsia="宋体" w:cs="Times New Roman"/>
        <w:sz w:val="21"/>
        <w:szCs w:val="21"/>
      </w:rPr>
      <w:t>第4</w:t>
    </w:r>
    <w:r>
      <w:rPr>
        <w:rFonts w:hint="eastAsia" w:ascii="宋体" w:hAnsi="宋体" w:eastAsia="宋体" w:cs="宋体"/>
        <w:sz w:val="21"/>
        <w:szCs w:val="21"/>
      </w:rPr>
      <w:t>章 网络虚拟财产继承的域外经验研究</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F9212">
    <w:pPr>
      <w:pStyle w:val="14"/>
      <w:pBdr>
        <w:top w:val="none" w:color="auto" w:sz="0" w:space="0"/>
        <w:left w:val="none" w:color="auto" w:sz="0" w:space="0"/>
        <w:bottom w:val="thickThinSmallGap" w:color="auto" w:sz="24" w:space="0"/>
        <w:right w:val="none" w:color="auto" w:sz="0" w:space="0"/>
      </w:pBdr>
      <w:spacing w:line="240" w:lineRule="auto"/>
      <w:jc w:val="center"/>
      <w:rPr>
        <w:rFonts w:hint="default"/>
        <w:lang w:val="en-US" w:eastAsia="zh-CN"/>
      </w:rPr>
    </w:pPr>
    <w:r>
      <w:rPr>
        <w:rFonts w:hint="eastAsia" w:ascii="Times New Roman" w:hAnsi="Times New Roman" w:eastAsia="宋体" w:cs="Times New Roman"/>
        <w:sz w:val="21"/>
        <w:szCs w:val="21"/>
      </w:rPr>
      <w:t>哈尔滨工程大学高等教育自学考试本科生毕业论文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6CCD7">
    <w:pPr>
      <w:pStyle w:val="14"/>
      <w:pBdr>
        <w:bottom w:val="thickThinSmallGap" w:color="auto" w:sz="24" w:space="0"/>
      </w:pBdr>
      <w:spacing w:line="240" w:lineRule="auto"/>
      <w:jc w:val="center"/>
      <w:rPr>
        <w:rFonts w:hint="eastAsia" w:ascii="宋体" w:hAnsi="宋体" w:eastAsia="宋体" w:cs="宋体"/>
        <w:sz w:val="21"/>
        <w:szCs w:val="21"/>
      </w:rPr>
    </w:pPr>
    <w:r>
      <w:rPr>
        <w:rFonts w:hint="default" w:ascii="Times New Roman" w:hAnsi="Times New Roman" w:eastAsia="宋体" w:cs="Times New Roman"/>
        <w:sz w:val="21"/>
        <w:szCs w:val="21"/>
      </w:rPr>
      <w:t>第5章 对我国实践中网络虚拟财产继承的完善</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67F62">
    <w:pPr>
      <w:pStyle w:val="14"/>
      <w:pBdr>
        <w:top w:val="none" w:color="auto" w:sz="0" w:space="0"/>
        <w:left w:val="none" w:color="auto" w:sz="0" w:space="0"/>
        <w:bottom w:val="thickThinSmallGap" w:color="auto" w:sz="24" w:space="0"/>
        <w:right w:val="none" w:color="auto" w:sz="0" w:space="0"/>
      </w:pBdr>
      <w:spacing w:line="240" w:lineRule="auto"/>
      <w:jc w:val="center"/>
      <w:rPr>
        <w:rFonts w:hint="default"/>
        <w:lang w:val="en-US" w:eastAsia="zh-CN"/>
      </w:rPr>
    </w:pPr>
    <w:r>
      <w:rPr>
        <w:rFonts w:hint="eastAsia" w:ascii="Times New Roman" w:hAnsi="Times New Roman" w:eastAsia="宋体" w:cs="Times New Roman"/>
        <w:sz w:val="21"/>
        <w:szCs w:val="21"/>
      </w:rPr>
      <w:t>哈尔滨工程大学高等教育自学考试本科生毕业论文</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39725">
    <w:pPr>
      <w:pStyle w:val="14"/>
      <w:widowControl w:val="0"/>
      <w:pBdr>
        <w:top w:val="none" w:color="auto" w:sz="0" w:space="1"/>
        <w:left w:val="none" w:color="auto" w:sz="0" w:space="4"/>
        <w:bottom w:val="thickThinSmallGap" w:color="auto" w:sz="24" w:space="1"/>
        <w:right w:val="none" w:color="auto" w:sz="0" w:space="4"/>
        <w:between w:val="none" w:color="auto" w:sz="0" w:space="0"/>
      </w:pBdr>
      <w:snapToGrid w:val="0"/>
      <w:jc w:val="center"/>
      <w:rPr>
        <w:rFonts w:hint="default"/>
        <w:lang w:val="en-US" w:eastAsia="zh-CN"/>
      </w:rPr>
    </w:pPr>
    <w:r>
      <w:rPr>
        <w:rFonts w:hint="eastAsia" w:ascii="宋体" w:hAnsi="宋体" w:eastAsia="宋体" w:cs="宋体"/>
        <w:bCs/>
        <w:snapToGrid w:val="0"/>
        <w:color w:val="000000" w:themeColor="text1"/>
        <w:kern w:val="0"/>
        <w:sz w:val="21"/>
        <w:szCs w:val="21"/>
        <w14:textFill>
          <w14:solidFill>
            <w14:schemeClr w14:val="tx1"/>
          </w14:solidFill>
        </w14:textFill>
      </w:rPr>
      <w:t>网络虚拟财产继承问题的法律规制研究</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E85B4">
    <w:pPr>
      <w:pStyle w:val="14"/>
      <w:widowControl w:val="0"/>
      <w:pBdr>
        <w:top w:val="none" w:color="auto" w:sz="0" w:space="1"/>
        <w:left w:val="none" w:color="auto" w:sz="0" w:space="4"/>
        <w:bottom w:val="thickThinSmallGap" w:color="auto" w:sz="24" w:space="1"/>
        <w:right w:val="none" w:color="auto" w:sz="0" w:space="4"/>
        <w:between w:val="none" w:color="auto" w:sz="0" w:space="0"/>
      </w:pBdr>
      <w:snapToGrid w:val="0"/>
      <w:jc w:val="center"/>
      <w:rPr>
        <w:rFonts w:hint="eastAsia"/>
        <w:lang w:val="en-US" w:eastAsia="zh-CN"/>
      </w:rPr>
    </w:pPr>
    <w:r>
      <w:rPr>
        <w:rFonts w:hint="eastAsia" w:ascii="宋体" w:hAnsi="宋体" w:eastAsia="宋体" w:cs="宋体"/>
        <w:bCs/>
        <w:snapToGrid w:val="0"/>
        <w:color w:val="000000" w:themeColor="text1"/>
        <w:kern w:val="0"/>
        <w:sz w:val="21"/>
        <w:szCs w:val="21"/>
        <w14:textFill>
          <w14:solidFill>
            <w14:schemeClr w14:val="tx1"/>
          </w14:solidFill>
        </w14:textFill>
      </w:rPr>
      <w:t>网络虚拟财产继承问题的法律规制研究</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62D77">
    <w:pPr>
      <w:pStyle w:val="14"/>
      <w:pBdr>
        <w:bottom w:val="thickThinSmallGap" w:color="auto" w:sz="24" w:space="0"/>
      </w:pBdr>
      <w:jc w:val="center"/>
      <w:rPr>
        <w:rFonts w:hint="eastAsia" w:ascii="宋体" w:hAnsi="宋体" w:eastAsia="宋体" w:cs="宋体"/>
        <w:sz w:val="21"/>
        <w:szCs w:val="21"/>
      </w:rPr>
    </w:pPr>
    <w:r>
      <w:rPr>
        <w:rFonts w:hint="eastAsia" w:ascii="宋体" w:hAnsi="宋体" w:eastAsia="宋体" w:cs="宋体"/>
        <w:sz w:val="21"/>
        <w:szCs w:val="21"/>
      </w:rPr>
      <w:t>致  谢</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F2A18">
    <w:pPr>
      <w:pStyle w:val="14"/>
      <w:pBdr>
        <w:top w:val="none" w:color="auto" w:sz="0" w:space="0"/>
        <w:left w:val="none" w:color="auto" w:sz="0" w:space="0"/>
        <w:bottom w:val="thickThinSmallGap" w:color="auto" w:sz="24" w:space="0"/>
        <w:right w:val="none" w:color="auto" w:sz="0" w:space="0"/>
      </w:pBdr>
      <w:spacing w:line="240" w:lineRule="auto"/>
      <w:jc w:val="center"/>
      <w:rPr>
        <w:rFonts w:hint="default"/>
        <w:lang w:val="en-US" w:eastAsia="zh-CN"/>
      </w:rPr>
    </w:pPr>
    <w:r>
      <w:rPr>
        <w:rFonts w:hint="eastAsia" w:ascii="Times New Roman" w:hAnsi="Times New Roman" w:eastAsia="宋体" w:cs="Times New Roman"/>
        <w:sz w:val="21"/>
        <w:szCs w:val="21"/>
      </w:rPr>
      <w:t>哈尔滨工程大学高等教育自学考试本科生毕业论文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964D9">
    <w:pPr>
      <w:pStyle w:val="14"/>
      <w:pBdr>
        <w:top w:val="none" w:color="auto" w:sz="0" w:space="0"/>
        <w:left w:val="none" w:color="auto" w:sz="0" w:space="0"/>
        <w:bottom w:val="thickThinSmallGap" w:color="auto" w:sz="24" w:space="0"/>
        <w:right w:val="none" w:color="auto" w:sz="0" w:space="0"/>
      </w:pBdr>
      <w:spacing w:line="240" w:lineRule="auto"/>
      <w:jc w:val="center"/>
      <w:rPr>
        <w:rFonts w:hint="default" w:ascii="Times New Roman" w:hAnsi="Times New Roman" w:eastAsia="宋体" w:cs="Times New Roman"/>
        <w:sz w:val="21"/>
        <w:szCs w:val="21"/>
        <w:lang w:val="en-US" w:eastAsia="zh-CN"/>
      </w:rPr>
    </w:pPr>
    <w:r>
      <w:rPr>
        <w:rFonts w:ascii="Times New Roman" w:hAnsi="Times New Roman" w:eastAsia="宋体" w:cs="Times New Roman"/>
        <w:sz w:val="21"/>
        <w:szCs w:val="21"/>
      </w:rPr>
      <w:t>哈尔滨工程大学自学考试本科</w:t>
    </w:r>
    <w:r>
      <w:rPr>
        <w:rFonts w:hint="eastAsia" w:ascii="Times New Roman" w:hAnsi="Times New Roman" w:eastAsia="宋体" w:cs="Times New Roman"/>
        <w:sz w:val="21"/>
        <w:szCs w:val="21"/>
      </w:rPr>
      <w:t>生</w:t>
    </w:r>
    <w:r>
      <w:rPr>
        <w:rFonts w:ascii="Times New Roman" w:hAnsi="Times New Roman" w:eastAsia="宋体" w:cs="Times New Roman"/>
        <w:sz w:val="21"/>
        <w:szCs w:val="21"/>
      </w:rPr>
      <w:t>毕业论文</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91321">
    <w:pPr>
      <w:pStyle w:val="14"/>
      <w:widowControl w:val="0"/>
      <w:pBdr>
        <w:top w:val="none" w:color="auto" w:sz="0" w:space="1"/>
        <w:left w:val="none" w:color="auto" w:sz="0" w:space="4"/>
        <w:bottom w:val="thickThinSmallGap" w:color="auto" w:sz="24" w:space="1"/>
        <w:right w:val="none" w:color="auto" w:sz="0" w:space="4"/>
        <w:between w:val="none" w:color="auto" w:sz="0" w:space="0"/>
      </w:pBdr>
      <w:snapToGrid w:val="0"/>
      <w:jc w:val="center"/>
      <w:rPr>
        <w:rFonts w:hint="eastAsia" w:ascii="宋体" w:hAnsi="宋体" w:eastAsia="宋体" w:cs="宋体"/>
        <w:bCs/>
        <w:snapToGrid w:val="0"/>
        <w:color w:val="000000" w:themeColor="text1"/>
        <w:kern w:val="0"/>
        <w:sz w:val="21"/>
        <w:szCs w:val="21"/>
        <w14:textFill>
          <w14:solidFill>
            <w14:schemeClr w14:val="tx1"/>
          </w14:solidFill>
        </w14:textFill>
      </w:rPr>
    </w:pPr>
    <w:r>
      <w:rPr>
        <w:rFonts w:hint="eastAsia" w:ascii="宋体" w:hAnsi="宋体" w:eastAsia="宋体" w:cs="宋体"/>
        <w:bCs/>
        <w:snapToGrid w:val="0"/>
        <w:color w:val="000000" w:themeColor="text1"/>
        <w:kern w:val="0"/>
        <w:sz w:val="21"/>
        <w:szCs w:val="21"/>
        <w14:textFill>
          <w14:solidFill>
            <w14:schemeClr w14:val="tx1"/>
          </w14:solidFill>
        </w14:textFill>
      </w:rPr>
      <w:t>哈尔滨工程大学自学考试本科生毕业论文</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16C9D">
    <w:pPr>
      <w:pStyle w:val="14"/>
      <w:pBdr>
        <w:top w:val="none" w:color="auto" w:sz="0" w:space="0"/>
        <w:left w:val="none" w:color="auto" w:sz="0" w:space="0"/>
        <w:bottom w:val="thickThinSmallGap" w:color="auto" w:sz="24" w:space="0"/>
        <w:right w:val="none" w:color="auto" w:sz="0" w:space="0"/>
      </w:pBd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哈尔滨工程大学高等教育自学考试本科生毕业论文</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F4485">
    <w:pPr>
      <w:pStyle w:val="14"/>
      <w:widowControl w:val="0"/>
      <w:pBdr>
        <w:top w:val="none" w:color="auto" w:sz="0" w:space="1"/>
        <w:left w:val="none" w:color="auto" w:sz="0" w:space="4"/>
        <w:bottom w:val="thickThinSmallGap" w:color="auto" w:sz="24" w:space="1"/>
        <w:right w:val="none" w:color="auto" w:sz="0" w:space="4"/>
        <w:between w:val="none" w:color="auto" w:sz="0" w:space="0"/>
      </w:pBdr>
      <w:snapToGrid w:val="0"/>
      <w:jc w:val="center"/>
      <w:rPr>
        <w:rFonts w:hint="eastAsia"/>
      </w:rPr>
    </w:pPr>
    <w:r>
      <w:rPr>
        <w:rFonts w:hint="eastAsia" w:ascii="宋体" w:hAnsi="宋体" w:eastAsia="宋体" w:cs="宋体"/>
        <w:bCs/>
        <w:snapToGrid w:val="0"/>
        <w:color w:val="000000" w:themeColor="text1"/>
        <w:kern w:val="0"/>
        <w:sz w:val="21"/>
        <w:szCs w:val="21"/>
        <w14:textFill>
          <w14:solidFill>
            <w14:schemeClr w14:val="tx1"/>
          </w14:solidFill>
        </w14:textFill>
      </w:rPr>
      <w:t>网络虚拟财产继承问题的法律规制研究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5B826">
    <w:pPr>
      <w:pStyle w:val="14"/>
      <w:widowControl w:val="0"/>
      <w:pBdr>
        <w:top w:val="none" w:color="auto" w:sz="0" w:space="1"/>
        <w:left w:val="none" w:color="auto" w:sz="0" w:space="4"/>
        <w:bottom w:val="thickThinSmallGap" w:color="auto" w:sz="24" w:space="1"/>
        <w:right w:val="none" w:color="auto" w:sz="0" w:space="4"/>
        <w:between w:val="none" w:color="auto" w:sz="0" w:space="0"/>
      </w:pBdr>
      <w:snapToGrid w:val="0"/>
      <w:jc w:val="center"/>
      <w:rPr>
        <w:rFonts w:hint="default" w:ascii="Times New Roman" w:hAnsi="Times New Roman" w:eastAsia="宋体" w:cs="Times New Roman"/>
        <w:bCs/>
        <w:snapToGrid w:val="0"/>
        <w:color w:val="000000" w:themeColor="text1"/>
        <w:kern w:val="0"/>
        <w:sz w:val="21"/>
        <w:szCs w:val="21"/>
        <w14:textFill>
          <w14:solidFill>
            <w14:schemeClr w14:val="tx1"/>
          </w14:solidFill>
        </w14:textFill>
      </w:rPr>
    </w:pPr>
    <w:r>
      <w:rPr>
        <w:rFonts w:hint="default" w:ascii="Times New Roman" w:hAnsi="Times New Roman" w:eastAsia="宋体" w:cs="Times New Roman"/>
        <w:bCs/>
        <w:snapToGrid w:val="0"/>
        <w:color w:val="000000" w:themeColor="text1"/>
        <w:kern w:val="0"/>
        <w:sz w:val="21"/>
        <w:szCs w:val="21"/>
        <w14:textFill>
          <w14:solidFill>
            <w14:schemeClr w14:val="tx1"/>
          </w14:solidFill>
        </w14:textFill>
      </w:rPr>
      <w:t>第1章 绪论</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99063">
    <w:pPr>
      <w:pStyle w:val="14"/>
      <w:pBdr>
        <w:top w:val="none" w:color="auto" w:sz="0" w:space="0"/>
        <w:left w:val="none" w:color="auto" w:sz="0" w:space="0"/>
        <w:bottom w:val="thickThinSmallGap" w:color="auto" w:sz="24" w:space="0"/>
        <w:right w:val="none" w:color="auto" w:sz="0" w:space="0"/>
      </w:pBdr>
      <w:spacing w:line="240" w:lineRule="auto"/>
      <w:jc w:val="center"/>
      <w:rPr>
        <w:rFonts w:hint="eastAsia" w:ascii="Times New Roman" w:hAnsi="Times New Roman" w:eastAsia="宋体" w:cs="Times New Roman"/>
        <w:sz w:val="21"/>
        <w:szCs w:val="21"/>
      </w:rPr>
    </w:pPr>
    <w:r>
      <w:rPr>
        <w:rFonts w:hint="default" w:ascii="Times New Roman" w:hAnsi="Times New Roman" w:eastAsia="宋体" w:cs="Times New Roman"/>
        <w:sz w:val="21"/>
        <w:szCs w:val="21"/>
      </w:rPr>
      <w:t>第2章 网络虚拟财产的概述</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84881">
    <w:pPr>
      <w:pStyle w:val="14"/>
      <w:pBdr>
        <w:bottom w:val="thickThinSmallGap" w:color="auto" w:sz="24" w:space="0"/>
      </w:pBdr>
      <w:spacing w:line="240" w:lineRule="auto"/>
      <w:jc w:val="center"/>
      <w:rPr>
        <w:rFonts w:hint="eastAsia" w:ascii="宋体" w:hAnsi="宋体" w:eastAsia="宋体" w:cs="宋体"/>
        <w:sz w:val="21"/>
        <w:szCs w:val="21"/>
      </w:rPr>
    </w:pPr>
    <w:r>
      <w:rPr>
        <w:rFonts w:hint="default" w:ascii="Times New Roman" w:hAnsi="Times New Roman" w:eastAsia="宋体" w:cs="Times New Roman"/>
        <w:sz w:val="21"/>
        <w:szCs w:val="21"/>
      </w:rPr>
      <w:t>第3章 网络</w:t>
    </w:r>
    <w:r>
      <w:rPr>
        <w:rFonts w:hint="eastAsia" w:ascii="宋体" w:hAnsi="宋体" w:eastAsia="宋体" w:cs="宋体"/>
        <w:sz w:val="21"/>
        <w:szCs w:val="21"/>
      </w:rPr>
      <w:t>虚拟财产保护中存在的问题</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6B5A1">
    <w:pPr>
      <w:pStyle w:val="14"/>
      <w:pBdr>
        <w:top w:val="none" w:color="auto" w:sz="0" w:space="0"/>
        <w:left w:val="none" w:color="auto" w:sz="0" w:space="0"/>
        <w:bottom w:val="thickThinSmallGap" w:color="auto" w:sz="24" w:space="0"/>
        <w:right w:val="none" w:color="auto" w:sz="0" w:space="0"/>
      </w:pBdr>
      <w:spacing w:line="240" w:lineRule="auto"/>
      <w:jc w:val="center"/>
      <w:rPr>
        <w:rFonts w:hint="eastAsia"/>
        <w:lang w:val="en-US" w:eastAsia="zh-CN"/>
      </w:rPr>
    </w:pPr>
    <w:r>
      <w:rPr>
        <w:rFonts w:hint="eastAsia" w:ascii="Times New Roman" w:hAnsi="Times New Roman" w:eastAsia="宋体" w:cs="Times New Roman"/>
        <w:sz w:val="21"/>
        <w:szCs w:val="21"/>
      </w:rPr>
      <w:t>哈尔滨工程大学高等教育自学考试本科生毕业论文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6ACF1C"/>
    <w:multiLevelType w:val="singleLevel"/>
    <w:tmpl w:val="026ACF1C"/>
    <w:lvl w:ilvl="0" w:tentative="0">
      <w:start w:val="1"/>
      <w:numFmt w:val="decimal"/>
      <w:suff w:val="space"/>
      <w:lvlText w:val="[%1]"/>
      <w:lvlJc w:val="left"/>
      <w:pPr>
        <w:tabs>
          <w:tab w:val="left" w:pos="0"/>
        </w:tabs>
      </w:pPr>
      <w:rPr>
        <w:rFonts w:hint="default" w:ascii="Times New Roman" w:hAnsi="Times New Roman" w:eastAsia="宋体" w:cs="Times New Roman"/>
        <w:sz w:val="24"/>
        <w:szCs w:val="24"/>
      </w:rPr>
    </w:lvl>
  </w:abstractNum>
  <w:abstractNum w:abstractNumId="1">
    <w:nsid w:val="11E8EE42"/>
    <w:multiLevelType w:val="singleLevel"/>
    <w:tmpl w:val="11E8EE4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HorizontalSpacing w:val="210"/>
  <w:drawingGridVerticalSpacing w:val="99999990"/>
  <w:displayHorizontalDrawingGridEvery w:val="1"/>
  <w:displayVerticalDrawingGridEvery w:val="1"/>
  <w:noPunctuationKerning w:val="1"/>
  <w:characterSpacingControl w:val="compressPunctuation"/>
  <w:footnotePr>
    <w:numFmt w:val="decimalEnclosedCircleChinese"/>
    <w:numRestart w:val="eachPage"/>
  </w:footnotePr>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Y2Y1ZDVlY2I5YWI1YTc1M2U0ZTFkNDU0ODM4MmIifQ=="/>
  </w:docVars>
  <w:rsids>
    <w:rsidRoot w:val="0016459B"/>
    <w:rsid w:val="00041430"/>
    <w:rsid w:val="000D4354"/>
    <w:rsid w:val="0016459B"/>
    <w:rsid w:val="00270F32"/>
    <w:rsid w:val="00273F7A"/>
    <w:rsid w:val="00393F2F"/>
    <w:rsid w:val="006B6886"/>
    <w:rsid w:val="00D51F8F"/>
    <w:rsid w:val="00E0578A"/>
    <w:rsid w:val="00F07746"/>
    <w:rsid w:val="00F93A69"/>
    <w:rsid w:val="014170B1"/>
    <w:rsid w:val="01B30926"/>
    <w:rsid w:val="02830B06"/>
    <w:rsid w:val="02CE033D"/>
    <w:rsid w:val="03307FF0"/>
    <w:rsid w:val="033314CD"/>
    <w:rsid w:val="04D06069"/>
    <w:rsid w:val="064B432A"/>
    <w:rsid w:val="069139A5"/>
    <w:rsid w:val="07663D27"/>
    <w:rsid w:val="07DA2AC9"/>
    <w:rsid w:val="097F4F12"/>
    <w:rsid w:val="0B1422A6"/>
    <w:rsid w:val="0B422421"/>
    <w:rsid w:val="0C923731"/>
    <w:rsid w:val="0DA67C51"/>
    <w:rsid w:val="0DCF4D92"/>
    <w:rsid w:val="0E157DA1"/>
    <w:rsid w:val="124734FA"/>
    <w:rsid w:val="12EB01E1"/>
    <w:rsid w:val="15200889"/>
    <w:rsid w:val="170164BE"/>
    <w:rsid w:val="17151ECF"/>
    <w:rsid w:val="1B7B1D86"/>
    <w:rsid w:val="1D3E783E"/>
    <w:rsid w:val="1E417279"/>
    <w:rsid w:val="1EF44F08"/>
    <w:rsid w:val="1F8A0845"/>
    <w:rsid w:val="1FCF6E73"/>
    <w:rsid w:val="218E0668"/>
    <w:rsid w:val="225E5BD6"/>
    <w:rsid w:val="229F1294"/>
    <w:rsid w:val="23F74F4B"/>
    <w:rsid w:val="2B4868E1"/>
    <w:rsid w:val="2BF275E2"/>
    <w:rsid w:val="303C275C"/>
    <w:rsid w:val="319D20B4"/>
    <w:rsid w:val="319E4654"/>
    <w:rsid w:val="32851BA4"/>
    <w:rsid w:val="33041AEA"/>
    <w:rsid w:val="354C6AAF"/>
    <w:rsid w:val="35C43AAE"/>
    <w:rsid w:val="366A4A0C"/>
    <w:rsid w:val="37C728FB"/>
    <w:rsid w:val="382614AE"/>
    <w:rsid w:val="3C9316B5"/>
    <w:rsid w:val="3DC500AB"/>
    <w:rsid w:val="403B3BE9"/>
    <w:rsid w:val="40D51DF8"/>
    <w:rsid w:val="40E56788"/>
    <w:rsid w:val="413330E5"/>
    <w:rsid w:val="419E7B44"/>
    <w:rsid w:val="42791B4C"/>
    <w:rsid w:val="4773474B"/>
    <w:rsid w:val="47F43020"/>
    <w:rsid w:val="48334675"/>
    <w:rsid w:val="48DA417B"/>
    <w:rsid w:val="4901023B"/>
    <w:rsid w:val="492E1555"/>
    <w:rsid w:val="4BD642D4"/>
    <w:rsid w:val="4C2940D0"/>
    <w:rsid w:val="4DDB3749"/>
    <w:rsid w:val="4DF262F3"/>
    <w:rsid w:val="52BA4EC6"/>
    <w:rsid w:val="547B7DEF"/>
    <w:rsid w:val="56EB6F69"/>
    <w:rsid w:val="57756B64"/>
    <w:rsid w:val="57802328"/>
    <w:rsid w:val="58852F2D"/>
    <w:rsid w:val="5AA3513F"/>
    <w:rsid w:val="5BA40555"/>
    <w:rsid w:val="5D5246B7"/>
    <w:rsid w:val="600C61E2"/>
    <w:rsid w:val="60AA20C1"/>
    <w:rsid w:val="625F628B"/>
    <w:rsid w:val="62A17F77"/>
    <w:rsid w:val="62FE337B"/>
    <w:rsid w:val="64F2407F"/>
    <w:rsid w:val="657C227E"/>
    <w:rsid w:val="65806D14"/>
    <w:rsid w:val="66626282"/>
    <w:rsid w:val="6A4F6090"/>
    <w:rsid w:val="6ABE425F"/>
    <w:rsid w:val="6BF227A8"/>
    <w:rsid w:val="6E820732"/>
    <w:rsid w:val="6EBC3920"/>
    <w:rsid w:val="712737E2"/>
    <w:rsid w:val="71F00113"/>
    <w:rsid w:val="72D53540"/>
    <w:rsid w:val="734E77B2"/>
    <w:rsid w:val="74093B12"/>
    <w:rsid w:val="75B8661D"/>
    <w:rsid w:val="75BA2F26"/>
    <w:rsid w:val="75D60362"/>
    <w:rsid w:val="75D759A7"/>
    <w:rsid w:val="76665364"/>
    <w:rsid w:val="767C1DCE"/>
    <w:rsid w:val="769821A1"/>
    <w:rsid w:val="77002EC6"/>
    <w:rsid w:val="7783148E"/>
    <w:rsid w:val="77B34DBC"/>
    <w:rsid w:val="78BB7D92"/>
    <w:rsid w:val="7A7444A2"/>
    <w:rsid w:val="7DDF4034"/>
    <w:rsid w:val="7F297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keepNext/>
      <w:keepLines/>
      <w:spacing w:before="100" w:beforeLines="100" w:after="100" w:afterLines="100" w:line="440" w:lineRule="exact"/>
      <w:jc w:val="center"/>
      <w:outlineLvl w:val="0"/>
    </w:pPr>
    <w:rPr>
      <w:rFonts w:ascii="Times New Roman" w:hAnsi="Times New Roman" w:eastAsia="黑体" w:cstheme="majorBidi"/>
      <w:color w:val="000000" w:themeColor="text1"/>
      <w:sz w:val="36"/>
      <w:szCs w:val="48"/>
      <w14:textFill>
        <w14:solidFill>
          <w14:schemeClr w14:val="tx1"/>
        </w14:solidFill>
      </w14:textFill>
    </w:rPr>
  </w:style>
  <w:style w:type="paragraph" w:styleId="3">
    <w:name w:val="heading 2"/>
    <w:basedOn w:val="1"/>
    <w:next w:val="1"/>
    <w:link w:val="29"/>
    <w:unhideWhenUsed/>
    <w:qFormat/>
    <w:uiPriority w:val="9"/>
    <w:pPr>
      <w:keepNext/>
      <w:keepLines/>
      <w:spacing w:before="50" w:beforeLines="50" w:after="50" w:afterLines="50" w:line="440" w:lineRule="exact"/>
      <w:jc w:val="left"/>
      <w:outlineLvl w:val="1"/>
    </w:pPr>
    <w:rPr>
      <w:rFonts w:ascii="Times New Roman" w:hAnsi="Times New Roman" w:eastAsia="黑体" w:cstheme="majorBidi"/>
      <w:color w:val="000000" w:themeColor="text1"/>
      <w:sz w:val="30"/>
      <w:szCs w:val="40"/>
      <w14:textFill>
        <w14:solidFill>
          <w14:schemeClr w14:val="tx1"/>
        </w14:solidFill>
      </w14:textFill>
    </w:rPr>
  </w:style>
  <w:style w:type="paragraph" w:styleId="4">
    <w:name w:val="heading 3"/>
    <w:basedOn w:val="1"/>
    <w:next w:val="1"/>
    <w:link w:val="26"/>
    <w:unhideWhenUsed/>
    <w:qFormat/>
    <w:uiPriority w:val="9"/>
    <w:pPr>
      <w:keepNext/>
      <w:keepLines/>
      <w:spacing w:before="50" w:beforeLines="50" w:after="50" w:afterLines="50" w:line="440" w:lineRule="exact"/>
      <w:jc w:val="left"/>
      <w:outlineLvl w:val="2"/>
    </w:pPr>
    <w:rPr>
      <w:rFonts w:ascii="Times New Roman" w:hAnsi="Times New Roman" w:eastAsia="黑体" w:cstheme="majorBidi"/>
      <w:color w:val="000000" w:themeColor="text1"/>
      <w:sz w:val="28"/>
      <w:szCs w:val="28"/>
      <w14:textFill>
        <w14:solidFill>
          <w14:schemeClr w14:val="tx1"/>
        </w14:solidFill>
      </w14:textFill>
    </w:rPr>
  </w:style>
  <w:style w:type="paragraph" w:styleId="5">
    <w:name w:val="heading 4"/>
    <w:basedOn w:val="1"/>
    <w:next w:val="1"/>
    <w:link w:val="27"/>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0"/>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1"/>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2"/>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3"/>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4"/>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toc 3"/>
    <w:basedOn w:val="1"/>
    <w:next w:val="1"/>
    <w:semiHidden/>
    <w:unhideWhenUsed/>
    <w:qFormat/>
    <w:uiPriority w:val="39"/>
    <w:pPr>
      <w:spacing w:line="440" w:lineRule="exact"/>
      <w:ind w:left="840" w:leftChars="400"/>
    </w:pPr>
    <w:rPr>
      <w:rFonts w:ascii="Times New Roman" w:hAnsi="Times New Roman" w:eastAsia="宋体"/>
      <w:sz w:val="24"/>
    </w:rPr>
  </w:style>
  <w:style w:type="paragraph" w:styleId="12">
    <w:name w:val="Date"/>
    <w:basedOn w:val="1"/>
    <w:next w:val="1"/>
    <w:unhideWhenUsed/>
    <w:qFormat/>
    <w:uiPriority w:val="0"/>
    <w:pPr>
      <w:ind w:left="100" w:leftChars="2500"/>
    </w:pPr>
  </w:style>
  <w:style w:type="paragraph" w:styleId="13">
    <w:name w:val="footer"/>
    <w:basedOn w:val="1"/>
    <w:unhideWhenUsed/>
    <w:qFormat/>
    <w:uiPriority w:val="99"/>
    <w:pPr>
      <w:tabs>
        <w:tab w:val="center" w:pos="4153"/>
        <w:tab w:val="right" w:pos="8306"/>
      </w:tabs>
      <w:snapToGrid w:val="0"/>
      <w:jc w:val="left"/>
    </w:pPr>
    <w:rPr>
      <w:sz w:val="18"/>
    </w:rPr>
  </w:style>
  <w:style w:type="paragraph" w:styleId="1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semiHidden/>
    <w:unhideWhenUsed/>
    <w:qFormat/>
    <w:uiPriority w:val="39"/>
    <w:pPr>
      <w:spacing w:line="440" w:lineRule="exact"/>
    </w:pPr>
    <w:rPr>
      <w:rFonts w:ascii="Times New Roman" w:hAnsi="Times New Roman" w:eastAsia="黑体"/>
      <w:sz w:val="24"/>
    </w:rPr>
  </w:style>
  <w:style w:type="paragraph" w:styleId="16">
    <w:name w:val="Subtitle"/>
    <w:basedOn w:val="1"/>
    <w:next w:val="1"/>
    <w:link w:val="36"/>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7">
    <w:name w:val="footnote text"/>
    <w:basedOn w:val="1"/>
    <w:semiHidden/>
    <w:unhideWhenUsed/>
    <w:qFormat/>
    <w:uiPriority w:val="99"/>
    <w:pPr>
      <w:snapToGrid w:val="0"/>
      <w:jc w:val="left"/>
    </w:pPr>
    <w:rPr>
      <w:sz w:val="18"/>
    </w:rPr>
  </w:style>
  <w:style w:type="paragraph" w:styleId="18">
    <w:name w:val="toc 2"/>
    <w:basedOn w:val="1"/>
    <w:next w:val="1"/>
    <w:semiHidden/>
    <w:unhideWhenUsed/>
    <w:qFormat/>
    <w:uiPriority w:val="39"/>
    <w:pPr>
      <w:spacing w:line="440" w:lineRule="exact"/>
      <w:ind w:left="420" w:leftChars="200"/>
    </w:pPr>
    <w:rPr>
      <w:rFonts w:ascii="Times New Roman" w:hAnsi="Times New Roman" w:eastAsia="宋体"/>
      <w:sz w:val="24"/>
    </w:rPr>
  </w:style>
  <w:style w:type="paragraph" w:styleId="19">
    <w:name w:val="Normal (Web)"/>
    <w:basedOn w:val="1"/>
    <w:unhideWhenUsed/>
    <w:qFormat/>
    <w:uiPriority w:val="99"/>
    <w:rPr>
      <w:sz w:val="24"/>
    </w:rPr>
  </w:style>
  <w:style w:type="paragraph" w:styleId="20">
    <w:name w:val="Title"/>
    <w:basedOn w:val="1"/>
    <w:next w:val="1"/>
    <w:link w:val="35"/>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23">
    <w:name w:val="Strong"/>
    <w:basedOn w:val="22"/>
    <w:qFormat/>
    <w:uiPriority w:val="22"/>
    <w:rPr>
      <w:b/>
    </w:rPr>
  </w:style>
  <w:style w:type="character" w:styleId="24">
    <w:name w:val="Hyperlink"/>
    <w:basedOn w:val="22"/>
    <w:unhideWhenUsed/>
    <w:qFormat/>
    <w:uiPriority w:val="99"/>
    <w:rPr>
      <w:color w:val="467886" w:themeColor="hyperlink"/>
      <w:u w:val="single"/>
      <w14:textFill>
        <w14:solidFill>
          <w14:schemeClr w14:val="hlink"/>
        </w14:solidFill>
      </w14:textFill>
    </w:rPr>
  </w:style>
  <w:style w:type="character" w:styleId="25">
    <w:name w:val="footnote reference"/>
    <w:basedOn w:val="22"/>
    <w:unhideWhenUsed/>
    <w:qFormat/>
    <w:uiPriority w:val="0"/>
    <w:rPr>
      <w:vertAlign w:val="superscript"/>
    </w:rPr>
  </w:style>
  <w:style w:type="character" w:customStyle="1" w:styleId="26">
    <w:name w:val="标题 3 字符"/>
    <w:basedOn w:val="22"/>
    <w:link w:val="4"/>
    <w:semiHidden/>
    <w:qFormat/>
    <w:uiPriority w:val="9"/>
    <w:rPr>
      <w:rFonts w:ascii="Times New Roman" w:hAnsi="Times New Roman" w:eastAsia="黑体" w:cstheme="majorBidi"/>
      <w:color w:val="000000" w:themeColor="text1"/>
      <w:sz w:val="28"/>
      <w:szCs w:val="28"/>
      <w14:textFill>
        <w14:solidFill>
          <w14:schemeClr w14:val="tx1"/>
        </w14:solidFill>
      </w14:textFill>
    </w:rPr>
  </w:style>
  <w:style w:type="character" w:customStyle="1" w:styleId="27">
    <w:name w:val="标题 4 字符"/>
    <w:basedOn w:val="22"/>
    <w:link w:val="5"/>
    <w:semiHidden/>
    <w:qFormat/>
    <w:uiPriority w:val="9"/>
    <w:rPr>
      <w:rFonts w:cstheme="majorBidi"/>
      <w:color w:val="104862" w:themeColor="accent1" w:themeShade="BF"/>
      <w:sz w:val="28"/>
      <w:szCs w:val="28"/>
    </w:rPr>
  </w:style>
  <w:style w:type="character" w:customStyle="1" w:styleId="28">
    <w:name w:val="标题 1 字符"/>
    <w:basedOn w:val="22"/>
    <w:link w:val="2"/>
    <w:qFormat/>
    <w:uiPriority w:val="9"/>
    <w:rPr>
      <w:rFonts w:ascii="Times New Roman" w:hAnsi="Times New Roman" w:eastAsia="黑体" w:cstheme="majorBidi"/>
      <w:color w:val="000000" w:themeColor="text1"/>
      <w:sz w:val="36"/>
      <w:szCs w:val="48"/>
      <w14:textFill>
        <w14:solidFill>
          <w14:schemeClr w14:val="tx1"/>
        </w14:solidFill>
      </w14:textFill>
    </w:rPr>
  </w:style>
  <w:style w:type="character" w:customStyle="1" w:styleId="29">
    <w:name w:val="标题 2 字符"/>
    <w:basedOn w:val="22"/>
    <w:link w:val="3"/>
    <w:semiHidden/>
    <w:qFormat/>
    <w:uiPriority w:val="9"/>
    <w:rPr>
      <w:rFonts w:ascii="Times New Roman" w:hAnsi="Times New Roman" w:eastAsia="黑体" w:cstheme="majorBidi"/>
      <w:color w:val="000000" w:themeColor="text1"/>
      <w:sz w:val="30"/>
      <w:szCs w:val="40"/>
      <w14:textFill>
        <w14:solidFill>
          <w14:schemeClr w14:val="tx1"/>
        </w14:solidFill>
      </w14:textFill>
    </w:rPr>
  </w:style>
  <w:style w:type="character" w:customStyle="1" w:styleId="30">
    <w:name w:val="标题 5 字符"/>
    <w:basedOn w:val="22"/>
    <w:link w:val="6"/>
    <w:semiHidden/>
    <w:qFormat/>
    <w:uiPriority w:val="9"/>
    <w:rPr>
      <w:rFonts w:cstheme="majorBidi"/>
      <w:color w:val="104862" w:themeColor="accent1" w:themeShade="BF"/>
      <w:sz w:val="24"/>
      <w:szCs w:val="24"/>
    </w:rPr>
  </w:style>
  <w:style w:type="character" w:customStyle="1" w:styleId="31">
    <w:name w:val="标题 6 字符"/>
    <w:basedOn w:val="22"/>
    <w:link w:val="7"/>
    <w:semiHidden/>
    <w:qFormat/>
    <w:uiPriority w:val="9"/>
    <w:rPr>
      <w:rFonts w:cstheme="majorBidi"/>
      <w:b/>
      <w:bCs/>
      <w:color w:val="104862" w:themeColor="accent1" w:themeShade="BF"/>
    </w:rPr>
  </w:style>
  <w:style w:type="character" w:customStyle="1" w:styleId="32">
    <w:name w:val="标题 7 字符"/>
    <w:basedOn w:val="22"/>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3">
    <w:name w:val="标题 8 字符"/>
    <w:basedOn w:val="22"/>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4">
    <w:name w:val="标题 9 字符"/>
    <w:basedOn w:val="22"/>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5">
    <w:name w:val="标题 字符"/>
    <w:basedOn w:val="22"/>
    <w:link w:val="20"/>
    <w:qFormat/>
    <w:uiPriority w:val="10"/>
    <w:rPr>
      <w:rFonts w:asciiTheme="majorHAnsi" w:hAnsiTheme="majorHAnsi" w:eastAsiaTheme="majorEastAsia" w:cstheme="majorBidi"/>
      <w:spacing w:val="-10"/>
      <w:kern w:val="28"/>
      <w:sz w:val="56"/>
      <w:szCs w:val="56"/>
    </w:rPr>
  </w:style>
  <w:style w:type="character" w:customStyle="1" w:styleId="36">
    <w:name w:val="副标题 字符"/>
    <w:basedOn w:val="22"/>
    <w:link w:val="16"/>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7">
    <w:name w:val="Quote"/>
    <w:basedOn w:val="1"/>
    <w:next w:val="1"/>
    <w:link w:val="38"/>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8">
    <w:name w:val="引用 字符"/>
    <w:basedOn w:val="22"/>
    <w:link w:val="37"/>
    <w:qFormat/>
    <w:uiPriority w:val="29"/>
    <w:rPr>
      <w:i/>
      <w:iCs/>
      <w:color w:val="404040" w:themeColor="text1" w:themeTint="BF"/>
      <w14:textFill>
        <w14:solidFill>
          <w14:schemeClr w14:val="tx1">
            <w14:lumMod w14:val="75000"/>
            <w14:lumOff w14:val="25000"/>
          </w14:schemeClr>
        </w14:solidFill>
      </w14:textFill>
    </w:rPr>
  </w:style>
  <w:style w:type="paragraph" w:styleId="39">
    <w:name w:val="List Paragraph"/>
    <w:basedOn w:val="1"/>
    <w:qFormat/>
    <w:uiPriority w:val="34"/>
    <w:pPr>
      <w:ind w:left="720"/>
      <w:contextualSpacing/>
    </w:pPr>
  </w:style>
  <w:style w:type="character" w:customStyle="1" w:styleId="40">
    <w:name w:val="明显强调1"/>
    <w:basedOn w:val="22"/>
    <w:qFormat/>
    <w:uiPriority w:val="21"/>
    <w:rPr>
      <w:i/>
      <w:iCs/>
      <w:color w:val="104862" w:themeColor="accent1" w:themeShade="BF"/>
    </w:rPr>
  </w:style>
  <w:style w:type="paragraph" w:styleId="41">
    <w:name w:val="Intense Quote"/>
    <w:basedOn w:val="1"/>
    <w:next w:val="1"/>
    <w:link w:val="42"/>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2">
    <w:name w:val="明显引用 字符"/>
    <w:basedOn w:val="22"/>
    <w:link w:val="41"/>
    <w:qFormat/>
    <w:uiPriority w:val="30"/>
    <w:rPr>
      <w:i/>
      <w:iCs/>
      <w:color w:val="104862" w:themeColor="accent1" w:themeShade="BF"/>
    </w:rPr>
  </w:style>
  <w:style w:type="character" w:customStyle="1" w:styleId="43">
    <w:name w:val="明显参考1"/>
    <w:basedOn w:val="22"/>
    <w:qFormat/>
    <w:uiPriority w:val="32"/>
    <w:rPr>
      <w:b/>
      <w:bCs/>
      <w:smallCaps/>
      <w:color w:val="104862" w:themeColor="accent1" w:themeShade="BF"/>
      <w:spacing w:val="5"/>
    </w:rPr>
  </w:style>
  <w:style w:type="paragraph" w:customStyle="1" w:styleId="44">
    <w:name w:val="样式1"/>
    <w:basedOn w:val="14"/>
    <w:qFormat/>
    <w:uiPriority w:val="0"/>
    <w:pPr>
      <w:pBdr>
        <w:bottom w:val="thickThinSmallGap" w:color="auto" w:sz="24" w:space="1"/>
      </w:pBdr>
    </w:pPr>
    <w:rPr>
      <w:rFonts w:ascii="宋体" w:cs="宋体" w:hAnsiTheme="majorEastAsia"/>
      <w:color w:val="000000"/>
      <w:sz w:val="21"/>
      <w:szCs w:val="21"/>
    </w:rPr>
  </w:style>
  <w:style w:type="paragraph" w:customStyle="1" w:styleId="45">
    <w:name w:val="目录"/>
    <w:basedOn w:val="2"/>
    <w:qFormat/>
    <w:uiPriority w:val="0"/>
    <w:pPr>
      <w:spacing w:line="440" w:lineRule="exact"/>
    </w:pPr>
    <w:rPr>
      <w:rFonts w:asciiTheme="majorAscii" w:hAnsiTheme="majorAscii"/>
    </w:rPr>
  </w:style>
  <w:style w:type="paragraph" w:customStyle="1" w:styleId="46">
    <w:name w:val="WPSOffice手动目录 1"/>
    <w:qFormat/>
    <w:uiPriority w:val="0"/>
    <w:pPr>
      <w:ind w:leftChars="0"/>
    </w:pPr>
    <w:rPr>
      <w:rFonts w:ascii="Times New Roman" w:hAnsi="Times New Roman" w:eastAsia="宋体" w:cs="Times New Roman"/>
      <w:sz w:val="20"/>
      <w:szCs w:val="20"/>
    </w:rPr>
  </w:style>
  <w:style w:type="paragraph" w:customStyle="1" w:styleId="47">
    <w:name w:val="WPSOffice手动目录 2"/>
    <w:qFormat/>
    <w:uiPriority w:val="0"/>
    <w:pPr>
      <w:ind w:leftChars="200"/>
    </w:pPr>
    <w:rPr>
      <w:rFonts w:ascii="Times New Roman" w:hAnsi="Times New Roman" w:eastAsia="宋体" w:cs="Times New Roman"/>
      <w:sz w:val="20"/>
      <w:szCs w:val="20"/>
    </w:rPr>
  </w:style>
  <w:style w:type="paragraph" w:customStyle="1" w:styleId="48">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theme" Target="theme/theme1.xml"/><Relationship Id="rId26" Type="http://schemas.openxmlformats.org/officeDocument/2006/relationships/header" Target="header17.xml"/><Relationship Id="rId25" Type="http://schemas.openxmlformats.org/officeDocument/2006/relationships/header" Target="header16.xml"/><Relationship Id="rId24" Type="http://schemas.openxmlformats.org/officeDocument/2006/relationships/header" Target="header15.xml"/><Relationship Id="rId23" Type="http://schemas.openxmlformats.org/officeDocument/2006/relationships/header" Target="header14.xml"/><Relationship Id="rId22" Type="http://schemas.openxmlformats.org/officeDocument/2006/relationships/header" Target="header13.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footer" Target="footer7.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34</Pages>
  <Words>19039</Words>
  <Characters>21612</Characters>
  <Lines>262</Lines>
  <Paragraphs>74</Paragraphs>
  <TotalTime>34</TotalTime>
  <ScaleCrop>false</ScaleCrop>
  <LinksUpToDate>false</LinksUpToDate>
  <CharactersWithSpaces>22225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2025-10-07T06:19:00Z</dcterms:created>
  <dc:creator>硕硕硕硕 硕</dc:creator>
  <cp:lastModifiedBy>九</cp:lastModifiedBy>
  <cp:lastPrinted>2025-10-22T00:48:00Z</cp:lastPrinted>
  <dcterms:modified xsi:type="dcterms:W3CDTF">2026-08-19T01:51:31Z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eyJoZGlkIjoiYzg1MjJiMmNiMjI2ODAwZjk4NDdjNDEzOTM4ZTA2OTYiLCJ1c2VySWQiOiI0MTY1NTY0NDcifQ==</vt:lpwstr>
  </property>
  <property fmtid="{D5CDD505-2E9C-101B-9397-08002B2CF9AE}" pid="3" name="KSOProductBuildVer">
    <vt:lpwstr>2052-12.1.0.25225</vt:lpwstr>
  </property>
  <property fmtid="{D5CDD505-2E9C-101B-9397-08002B2CF9AE}" pid="4" name="ICV">
    <vt:lpwstr>6CEA40B49F5E41EF986CE0EC49CDC92B_13</vt:lpwstr>
  </property>
</Properties>
</file>