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b/>
          <w:sz w:val="32"/>
          <w:szCs w:val="32"/>
        </w:rPr>
      </w:pPr>
      <w:bookmarkStart w:id="1" w:name="_GoBack"/>
      <w:bookmarkEnd w:id="1"/>
      <w:bookmarkStart w:id="0" w:name="_Hlk40627719"/>
      <w:bookmarkEnd w:id="0"/>
      <w:r>
        <w:rPr>
          <w:rFonts w:hint="eastAsia" w:ascii="方正小标宋简体" w:hAnsi="方正小标宋简体" w:eastAsia="方正小标宋简体" w:cs="方正小标宋简体"/>
          <w:sz w:val="32"/>
          <w:szCs w:val="32"/>
        </w:rPr>
        <w:t>哈尔滨工程大学继续教育发展年度报告（2020）</w:t>
      </w:r>
    </w:p>
    <w:p>
      <w:pPr>
        <w:pStyle w:val="3"/>
        <w:pageBreakBefore w:val="0"/>
        <w:kinsoku/>
        <w:wordWrap/>
        <w:overflowPunct/>
        <w:topLinePunct w:val="0"/>
        <w:autoSpaceDE/>
        <w:autoSpaceDN/>
        <w:bidi w:val="0"/>
        <w:spacing w:before="0" w:after="0" w:line="600" w:lineRule="exact"/>
        <w:ind w:firstLine="640" w:firstLineChars="200"/>
        <w:rPr>
          <w:rFonts w:ascii="Times New Roman" w:hAnsi="Times New Roman" w:eastAsia="黑体" w:cs="Times New Roman"/>
          <w:kern w:val="0"/>
        </w:rPr>
      </w:pPr>
      <w:r>
        <w:rPr>
          <w:rFonts w:ascii="Times New Roman" w:hAnsi="Times New Roman" w:eastAsia="黑体" w:cs="Times New Roman"/>
          <w:b w:val="0"/>
        </w:rPr>
        <w:t>一、学校情况</w:t>
      </w:r>
    </w:p>
    <w:p>
      <w:pPr>
        <w:pStyle w:val="35"/>
        <w:pageBreakBefore w:val="0"/>
        <w:kinsoku/>
        <w:wordWrap/>
        <w:overflowPunct/>
        <w:topLinePunct w:val="0"/>
        <w:autoSpaceDE/>
        <w:autoSpaceDN/>
        <w:bidi w:val="0"/>
        <w:spacing w:line="600" w:lineRule="exact"/>
        <w:rPr>
          <w:rFonts w:ascii="Times New Roman" w:hAnsi="Times New Roman" w:eastAsia="楷体_GB2312" w:cs="Times New Roman"/>
        </w:rPr>
      </w:pPr>
      <w:r>
        <w:rPr>
          <w:rFonts w:ascii="Times New Roman" w:hAnsi="Times New Roman" w:cs="Times New Roman"/>
        </w:rPr>
        <w:t xml:space="preserve"> </w:t>
      </w:r>
      <w:r>
        <w:rPr>
          <w:rFonts w:ascii="Times New Roman" w:hAnsi="Times New Roman" w:eastAsia="楷体_GB2312" w:cs="Times New Roman"/>
        </w:rPr>
        <w:t xml:space="preserve">  </w:t>
      </w:r>
      <w:r>
        <w:rPr>
          <w:rFonts w:ascii="Times New Roman" w:hAnsi="Times New Roman" w:eastAsia="楷体_GB2312" w:cs="Times New Roman"/>
          <w:kern w:val="2"/>
        </w:rPr>
        <w:t>（一）学校概况</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哈尔滨工程大学坐落于北国冰城哈尔滨市。学校前身是创建于1953年的中国人民解放军军事工程学院（</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哈军工</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）。1970年，以海军工程系全建制及其他系部部分干部教师为基础，在</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哈军工</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原址组建哈尔滨船舶工程学院；1978年，被国务院确定为全国重点大学；1982年，成为首批具有博士、硕士学位授予权的单位；1994年，更名为哈尔滨工程大学；1996年，进入首批</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211工程</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建设高校行列；2002年，由国防科工委、黑龙江省人民政府重点共建，同年被教育部批准试办研究生院；2003年，科技部和教育部授予学校科技园</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国家大学科技园</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称号；2007年，由国防科工委、教育部、黑龙江省人民政府、海军共建，同年教育部批准正式建立研究生院；2011年，进入国家</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985工程</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优势学科创新平台项目建设高校行列；2017年，进入国家</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双一流</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建设行列。学校现隶属于国家工业和信息化部，是我国</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三海一核</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（船舶工业、海军装备、海洋开发、核能应用）领域重要的人才培养和科学研究基地。</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哈尔滨工程大学继续教育学院前身系1989年9月经中国船舶工业总公司批准成立的哈尔滨船舶工程学院成人教育学院；2003年与国际合作教育学院合署办公；2006年9月更名为哈尔滨工程大学继续教育学院；2015年7月独立建制运行。学院始终继承和发扬</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哈军工</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优良办学传统，80年代起就面向国防工业、船舶行业、核工业以及省内地市，举办各类中短期培训班、高级专业技术人员研修班、中层干部培训班、岗前培训班和技能提高班。</w:t>
      </w:r>
    </w:p>
    <w:p>
      <w:pPr>
        <w:pStyle w:val="35"/>
        <w:pageBreakBefore w:val="0"/>
        <w:kinsoku/>
        <w:wordWrap/>
        <w:overflowPunct/>
        <w:topLinePunct w:val="0"/>
        <w:autoSpaceDE/>
        <w:autoSpaceDN/>
        <w:bidi w:val="0"/>
        <w:spacing w:line="600" w:lineRule="exact"/>
        <w:rPr>
          <w:rFonts w:ascii="Times New Roman" w:hAnsi="Times New Roman" w:eastAsia="楷体_GB2312" w:cs="Times New Roman"/>
        </w:rPr>
      </w:pPr>
      <w:r>
        <w:rPr>
          <w:rFonts w:ascii="Times New Roman" w:hAnsi="Times New Roman" w:eastAsia="楷体_GB2312" w:cs="Times New Roman"/>
        </w:rPr>
        <w:t xml:space="preserve">   （二）</w:t>
      </w:r>
      <w:r>
        <w:rPr>
          <w:rFonts w:hint="eastAsia" w:ascii="Times New Roman" w:hAnsi="Times New Roman" w:eastAsia="楷体_GB2312" w:cs="Times New Roman"/>
        </w:rPr>
        <w:t>学校</w:t>
      </w:r>
      <w:r>
        <w:rPr>
          <w:rFonts w:ascii="Times New Roman" w:hAnsi="Times New Roman" w:eastAsia="楷体_GB2312" w:cs="Times New Roman"/>
        </w:rPr>
        <w:t>继续教育总体规划</w:t>
      </w:r>
      <w:r>
        <w:rPr>
          <w:rFonts w:hint="eastAsia" w:ascii="Times New Roman" w:hAnsi="Times New Roman" w:eastAsia="楷体_GB2312" w:cs="Times New Roman"/>
        </w:rPr>
        <w:t>与</w:t>
      </w:r>
      <w:r>
        <w:rPr>
          <w:rFonts w:ascii="Times New Roman" w:hAnsi="Times New Roman" w:eastAsia="楷体_GB2312" w:cs="Times New Roman"/>
        </w:rPr>
        <w:t>办学定位</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学校把继续教育</w:t>
      </w:r>
      <w:r>
        <w:rPr>
          <w:rFonts w:hint="eastAsia" w:ascii="Times New Roman" w:hAnsi="Times New Roman" w:eastAsia="仿宋_GB2312" w:cs="Times New Roman"/>
          <w:kern w:val="0"/>
          <w:sz w:val="32"/>
          <w:szCs w:val="32"/>
        </w:rPr>
        <w:t>作为</w:t>
      </w:r>
      <w:r>
        <w:rPr>
          <w:rFonts w:hint="eastAsia" w:ascii="Times New Roman" w:hAnsi="Times New Roman" w:eastAsia="仿宋_GB2312" w:cs="Times New Roman"/>
          <w:kern w:val="0"/>
          <w:sz w:val="32"/>
          <w:szCs w:val="32"/>
          <w:lang w:eastAsia="zh-CN"/>
        </w:rPr>
        <w:t>人</w:t>
      </w:r>
      <w:r>
        <w:rPr>
          <w:rFonts w:ascii="Times New Roman" w:hAnsi="Times New Roman" w:eastAsia="仿宋_GB2312" w:cs="Times New Roman"/>
          <w:kern w:val="0"/>
          <w:sz w:val="32"/>
          <w:szCs w:val="32"/>
        </w:rPr>
        <w:t>才培养的重要组成部分，强化学校服务行业和区域经济社会发展的功能，进一步健全学校教学功能、丰富学校办学形式、扩大学校办学影响、提升学校服务能力。不断推动继续教育和普通教育以学科专业建设、实验室、实践实训基地共建为纽带，推进资源共建共享，建立健全学校继续教育与校内全日制本科教育、研究生教育的统筹协调发展机制。</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学校继续教育依靠学校整体资源，充分发挥学校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三海一核</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船舶工业、海军装备、海洋开发、核能应用）行业领域优势，积极发展学历教育，大力发展非学历教育，稳步推进高等学历继续教育，逐步完善职业教育和培训体系、深化产教融合、校企合作。从学校教育向社会教育拓展，进一步构建起普通教育与职业教育、职前教育与职后教育纵向衔接横向贯通的终身学习体系，搭建网络化、数字化、个性化的终身学习</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立交桥</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w:t>
      </w:r>
    </w:p>
    <w:p>
      <w:pPr>
        <w:pStyle w:val="35"/>
        <w:pageBreakBefore w:val="0"/>
        <w:kinsoku/>
        <w:wordWrap/>
        <w:overflowPunct/>
        <w:topLinePunct w:val="0"/>
        <w:autoSpaceDE/>
        <w:autoSpaceDN/>
        <w:bidi w:val="0"/>
        <w:spacing w:line="600" w:lineRule="exact"/>
        <w:rPr>
          <w:rFonts w:ascii="Times New Roman" w:hAnsi="Times New Roman" w:eastAsia="楷体" w:cs="Times New Roman"/>
          <w:kern w:val="2"/>
        </w:rPr>
      </w:pPr>
      <w:r>
        <w:rPr>
          <w:rFonts w:ascii="Times New Roman" w:hAnsi="Times New Roman" w:eastAsia="楷体" w:cs="Times New Roman"/>
          <w:kern w:val="2"/>
        </w:rPr>
        <w:t xml:space="preserve">  </w:t>
      </w:r>
      <w:r>
        <w:rPr>
          <w:rFonts w:ascii="Times New Roman" w:hAnsi="Times New Roman" w:eastAsia="楷体_GB2312" w:cs="Times New Roman"/>
        </w:rPr>
        <w:t xml:space="preserve"> （三）学校继续教育办学体制</w:t>
      </w:r>
      <w:r>
        <w:rPr>
          <w:rFonts w:hint="eastAsia" w:ascii="Times New Roman" w:hAnsi="Times New Roman" w:eastAsia="楷体_GB2312" w:cs="Times New Roman"/>
        </w:rPr>
        <w:t>与</w:t>
      </w:r>
      <w:r>
        <w:rPr>
          <w:rFonts w:ascii="Times New Roman" w:hAnsi="Times New Roman" w:eastAsia="楷体_GB2312" w:cs="Times New Roman"/>
        </w:rPr>
        <w:t>管理机制</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继续教育学院作为学校继续教育的办学主体，代表学校对全校的高等学历继续教育和部分非学历教育行使管理职能</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是学校对外实施继续教育的办学机构与归口管理部门。根据学校实际，高等学历继续教育实行分级管理体制，即</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校院共管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和</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校地共管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校院共管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是指继续教育学院作为学校的职能部门，代表学校对全校的高等学历继续教育进行全过程管理，主要负责高等学历继续教育招生、组织教学、学籍管理等工作。</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校地共管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是指继续教育学院与函授站所在地的教育主管部门及函授站共同管理函授教育，其中继续</w:t>
      </w:r>
      <w:r>
        <w:rPr>
          <w:rFonts w:hint="eastAsia" w:ascii="Times New Roman" w:hAnsi="Times New Roman" w:eastAsia="仿宋_GB2312" w:cs="Times New Roman"/>
          <w:kern w:val="0"/>
          <w:sz w:val="32"/>
          <w:szCs w:val="32"/>
          <w:lang w:eastAsia="zh-CN"/>
        </w:rPr>
        <w:t>教育</w:t>
      </w:r>
      <w:r>
        <w:rPr>
          <w:rFonts w:ascii="Times New Roman" w:hAnsi="Times New Roman" w:eastAsia="仿宋_GB2312" w:cs="Times New Roman"/>
          <w:kern w:val="0"/>
          <w:sz w:val="32"/>
          <w:szCs w:val="32"/>
        </w:rPr>
        <w:t>学院负责招生、教学、学籍管理等工作，函授站在学校指导监督下，负责招生宣传、协助组织教学和考试及日常的学生管理等工作。</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长期以来，学校领导十分重视继续教育工作，始终将继续教育作为与全日制教育、研究生教育并列的三项基本教育任务之一，实现资源共享，设备共用，优势互补，协调发展。学校将继续教育纳入学校整体发展规划，列入学校重要议事日程。学校继续教育主管领导经常组织相关部门研究继续教育的办学方针、指导思想、招生规模、教学安排以及学生的思想政治工作等，及时解决发展中存在的问题。</w:t>
      </w:r>
    </w:p>
    <w:p>
      <w:pPr>
        <w:pStyle w:val="3"/>
        <w:pageBreakBefore w:val="0"/>
        <w:numPr>
          <w:ilvl w:val="0"/>
          <w:numId w:val="0"/>
        </w:numPr>
        <w:kinsoku/>
        <w:wordWrap/>
        <w:overflowPunct/>
        <w:topLinePunct w:val="0"/>
        <w:autoSpaceDE/>
        <w:autoSpaceDN/>
        <w:bidi w:val="0"/>
        <w:spacing w:before="0" w:after="0" w:line="600" w:lineRule="exact"/>
        <w:ind w:leftChars="0" w:firstLine="640" w:firstLineChars="200"/>
        <w:rPr>
          <w:rFonts w:ascii="Times New Roman" w:hAnsi="Times New Roman" w:eastAsia="黑体" w:cs="Times New Roman"/>
          <w:b w:val="0"/>
        </w:rPr>
      </w:pPr>
      <w:r>
        <w:rPr>
          <w:rFonts w:hint="eastAsia" w:ascii="Times New Roman" w:hAnsi="Times New Roman" w:eastAsia="黑体" w:cs="Times New Roman"/>
          <w:b w:val="0"/>
          <w:lang w:eastAsia="zh-CN"/>
        </w:rPr>
        <w:t>二、</w:t>
      </w:r>
      <w:r>
        <w:rPr>
          <w:rFonts w:ascii="Times New Roman" w:hAnsi="Times New Roman" w:eastAsia="黑体" w:cs="Times New Roman"/>
          <w:b w:val="0"/>
        </w:rPr>
        <w:t>专业设置</w:t>
      </w:r>
    </w:p>
    <w:p>
      <w:pPr>
        <w:pStyle w:val="35"/>
        <w:pageBreakBefore w:val="0"/>
        <w:kinsoku/>
        <w:wordWrap/>
        <w:overflowPunct/>
        <w:topLinePunct w:val="0"/>
        <w:autoSpaceDE/>
        <w:autoSpaceDN/>
        <w:bidi w:val="0"/>
        <w:spacing w:line="600" w:lineRule="exact"/>
        <w:ind w:left="630"/>
        <w:rPr>
          <w:rFonts w:ascii="Times New Roman" w:hAnsi="Times New Roman" w:eastAsia="楷体_GB2312" w:cs="Times New Roman"/>
          <w:kern w:val="2"/>
        </w:rPr>
      </w:pPr>
      <w:r>
        <w:rPr>
          <w:rFonts w:ascii="Times New Roman" w:hAnsi="Times New Roman" w:eastAsia="楷体_GB2312" w:cs="Times New Roman"/>
          <w:kern w:val="2"/>
        </w:rPr>
        <w:t>（一）学历继续教育专业设置情况</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哈尔滨工程大学高等学历继续教育开设船舶与海洋工程、机械设计制造及其自动化、工商管理、轮机工程、电气工程及其自动化、土木工程、法学、给排水科学与工程、建筑环境与能源应用工程、能源与动力工程</w:t>
      </w:r>
      <w:r>
        <w:rPr>
          <w:rFonts w:ascii="Times New Roman" w:hAnsi="Times New Roman" w:eastAsia="仿宋_GB2312" w:cs="Times New Roman"/>
          <w:kern w:val="0"/>
          <w:sz w:val="32"/>
          <w:szCs w:val="32"/>
        </w:rPr>
        <w:t>10</w:t>
      </w:r>
      <w:r>
        <w:rPr>
          <w:rFonts w:hint="eastAsia" w:ascii="Times New Roman" w:hAnsi="Times New Roman" w:eastAsia="仿宋_GB2312" w:cs="仿宋_GB2312"/>
          <w:kern w:val="0"/>
          <w:sz w:val="32"/>
          <w:szCs w:val="32"/>
        </w:rPr>
        <w:t>个本科专业。学校在教育部第四轮学科评估中获</w:t>
      </w:r>
      <w:r>
        <w:rPr>
          <w:rFonts w:ascii="Times New Roman" w:hAnsi="Times New Roman" w:eastAsia="仿宋_GB2312" w:cs="Times New Roman"/>
          <w:kern w:val="0"/>
          <w:sz w:val="32"/>
          <w:szCs w:val="32"/>
        </w:rPr>
        <w:t>A+</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A-</w:t>
      </w:r>
      <w:r>
        <w:rPr>
          <w:rFonts w:hint="eastAsia" w:ascii="Times New Roman" w:hAnsi="Times New Roman" w:eastAsia="仿宋_GB2312" w:cs="仿宋_GB2312"/>
          <w:kern w:val="0"/>
          <w:sz w:val="32"/>
          <w:szCs w:val="32"/>
        </w:rPr>
        <w:t>等级学科各</w:t>
      </w: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个，获</w:t>
      </w:r>
      <w:r>
        <w:rPr>
          <w:rFonts w:ascii="Times New Roman" w:hAnsi="Times New Roman" w:eastAsia="仿宋_GB2312" w:cs="Times New Roman"/>
          <w:kern w:val="0"/>
          <w:sz w:val="32"/>
          <w:szCs w:val="32"/>
        </w:rPr>
        <w:t>B+</w:t>
      </w:r>
      <w:r>
        <w:rPr>
          <w:rFonts w:hint="eastAsia" w:ascii="Times New Roman" w:hAnsi="Times New Roman" w:eastAsia="仿宋_GB2312" w:cs="仿宋_GB2312"/>
          <w:kern w:val="0"/>
          <w:sz w:val="32"/>
          <w:szCs w:val="32"/>
        </w:rPr>
        <w:t>等级学科</w:t>
      </w:r>
      <w:r>
        <w:rPr>
          <w:rFonts w:ascii="Times New Roman" w:hAnsi="Times New Roman" w:eastAsia="仿宋_GB2312" w:cs="Times New Roman"/>
          <w:kern w:val="0"/>
          <w:sz w:val="32"/>
          <w:szCs w:val="32"/>
        </w:rPr>
        <w:t>5</w:t>
      </w:r>
      <w:r>
        <w:rPr>
          <w:rFonts w:hint="eastAsia" w:ascii="Times New Roman" w:hAnsi="Times New Roman" w:eastAsia="仿宋_GB2312" w:cs="仿宋_GB2312"/>
          <w:kern w:val="0"/>
          <w:sz w:val="32"/>
          <w:szCs w:val="32"/>
        </w:rPr>
        <w:t>个，</w:t>
      </w:r>
      <w:r>
        <w:rPr>
          <w:rFonts w:ascii="Times New Roman" w:hAnsi="Times New Roman" w:eastAsia="仿宋_GB2312" w:cs="Times New Roman"/>
          <w:kern w:val="0"/>
          <w:sz w:val="32"/>
          <w:szCs w:val="32"/>
        </w:rPr>
        <w:t>B</w:t>
      </w:r>
      <w:r>
        <w:rPr>
          <w:rFonts w:hint="eastAsia" w:ascii="Times New Roman" w:hAnsi="Times New Roman" w:eastAsia="仿宋_GB2312" w:cs="仿宋_GB2312"/>
          <w:kern w:val="0"/>
          <w:sz w:val="32"/>
          <w:szCs w:val="32"/>
        </w:rPr>
        <w:t>级学科</w:t>
      </w: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个，</w:t>
      </w:r>
      <w:r>
        <w:rPr>
          <w:rFonts w:ascii="Times New Roman" w:hAnsi="Times New Roman" w:eastAsia="仿宋_GB2312" w:cs="Times New Roman"/>
          <w:kern w:val="0"/>
          <w:sz w:val="32"/>
          <w:szCs w:val="32"/>
        </w:rPr>
        <w:t>13</w:t>
      </w:r>
      <w:r>
        <w:rPr>
          <w:rFonts w:hint="eastAsia" w:ascii="Times New Roman" w:hAnsi="Times New Roman" w:eastAsia="仿宋_GB2312" w:cs="仿宋_GB2312"/>
          <w:kern w:val="0"/>
          <w:sz w:val="32"/>
          <w:szCs w:val="32"/>
        </w:rPr>
        <w:t>个学科进入全国前</w:t>
      </w:r>
      <w:r>
        <w:rPr>
          <w:rFonts w:ascii="Times New Roman" w:hAnsi="Times New Roman" w:eastAsia="仿宋_GB2312" w:cs="Times New Roman"/>
          <w:kern w:val="0"/>
          <w:sz w:val="32"/>
          <w:szCs w:val="32"/>
        </w:rPr>
        <w:t>30%</w:t>
      </w:r>
      <w:r>
        <w:rPr>
          <w:rFonts w:hint="eastAsia" w:ascii="Times New Roman" w:hAnsi="Times New Roman" w:eastAsia="仿宋_GB2312" w:cs="仿宋_GB2312"/>
          <w:kern w:val="0"/>
          <w:sz w:val="32"/>
          <w:szCs w:val="32"/>
        </w:rPr>
        <w:t>行列，学院根据教育部</w:t>
      </w:r>
      <w:r>
        <w:rPr>
          <w:rFonts w:hint="eastAsia" w:ascii="Times New Roman" w:hAnsi="Times New Roman" w:eastAsia="仿宋_GB2312" w:cs="Times New Roman"/>
          <w:kern w:val="0"/>
          <w:sz w:val="32"/>
          <w:szCs w:val="32"/>
        </w:rPr>
        <w:t>教职成〔2016〕7号</w:t>
      </w:r>
      <w:r>
        <w:rPr>
          <w:rFonts w:hint="eastAsia" w:ascii="Times New Roman" w:hAnsi="Times New Roman" w:eastAsia="仿宋_GB2312" w:cs="仿宋_GB2312"/>
          <w:kern w:val="0"/>
          <w:sz w:val="32"/>
          <w:szCs w:val="32"/>
        </w:rPr>
        <w:t>《高等学历继续教育专业设置管理办法》的规定，围绕学校船舶与海洋工程、轮机工程、电气工程及其自动化等优势学科设置高等学历继续教育专业。</w:t>
      </w:r>
    </w:p>
    <w:p>
      <w:pPr>
        <w:pStyle w:val="35"/>
        <w:pageBreakBefore w:val="0"/>
        <w:kinsoku/>
        <w:wordWrap/>
        <w:overflowPunct/>
        <w:topLinePunct w:val="0"/>
        <w:autoSpaceDE/>
        <w:autoSpaceDN/>
        <w:bidi w:val="0"/>
        <w:spacing w:line="600" w:lineRule="exact"/>
        <w:ind w:left="630"/>
        <w:rPr>
          <w:rFonts w:ascii="Times New Roman" w:hAnsi="Times New Roman" w:eastAsia="楷体_GB2312" w:cs="Times New Roman"/>
          <w:kern w:val="2"/>
        </w:rPr>
      </w:pPr>
      <w:r>
        <w:rPr>
          <w:rFonts w:ascii="Times New Roman" w:hAnsi="Times New Roman" w:eastAsia="楷体_GB2312" w:cs="Times New Roman"/>
          <w:kern w:val="2"/>
        </w:rPr>
        <w:t>（二）学历继续教育专业调整情况</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hint="eastAsia"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学校为进一步加强高等学历继续教育专业建设，适应我国社会主义现代化建设的需要，促进学校高等学历继续教育专业教育规模、质量、效益协调发展，使专业设置更为合理、规范，学校高等学历继续教育依托优势学科，优化调整开设专业布局，通过考察调研沿海省份发展特点，充分发挥学校优势学科，推进在沿海省份所需专业的高等学历继续教育发展。</w:t>
      </w:r>
      <w:r>
        <w:rPr>
          <w:rFonts w:hint="eastAsia" w:ascii="Times New Roman" w:hAnsi="Times New Roman" w:eastAsia="仿宋_GB2312" w:cs="Times New Roman"/>
          <w:kern w:val="0"/>
          <w:sz w:val="32"/>
          <w:szCs w:val="32"/>
        </w:rPr>
        <w:t>2020年</w:t>
      </w:r>
      <w:r>
        <w:rPr>
          <w:rFonts w:hint="eastAsia" w:ascii="Times New Roman" w:hAnsi="Times New Roman" w:eastAsia="仿宋_GB2312" w:cs="Times New Roman"/>
          <w:kern w:val="0"/>
          <w:sz w:val="32"/>
          <w:szCs w:val="32"/>
          <w:lang w:eastAsia="zh-CN"/>
        </w:rPr>
        <w:t>以</w:t>
      </w:r>
      <w:r>
        <w:rPr>
          <w:rFonts w:hint="eastAsia" w:ascii="Times New Roman" w:hAnsi="Times New Roman" w:eastAsia="仿宋_GB2312" w:cs="Times New Roman"/>
          <w:kern w:val="0"/>
          <w:sz w:val="32"/>
          <w:szCs w:val="32"/>
        </w:rPr>
        <w:t>山东省发展海洋强省建设</w:t>
      </w:r>
      <w:r>
        <w:rPr>
          <w:rFonts w:hint="eastAsia" w:ascii="Times New Roman" w:hAnsi="Times New Roman" w:eastAsia="仿宋_GB2312" w:cs="Times New Roman"/>
          <w:kern w:val="0"/>
          <w:sz w:val="32"/>
          <w:szCs w:val="32"/>
          <w:lang w:eastAsia="zh-CN"/>
        </w:rPr>
        <w:t>为</w:t>
      </w:r>
      <w:r>
        <w:rPr>
          <w:rFonts w:hint="eastAsia" w:ascii="Times New Roman" w:hAnsi="Times New Roman" w:eastAsia="仿宋_GB2312" w:cs="Times New Roman"/>
          <w:kern w:val="0"/>
          <w:sz w:val="32"/>
          <w:szCs w:val="32"/>
        </w:rPr>
        <w:t>契机，在已开设的船舶与海工程专业基础上，拟开设轮机工程专业，</w:t>
      </w:r>
      <w:r>
        <w:rPr>
          <w:rFonts w:hint="eastAsia" w:ascii="Times New Roman" w:hAnsi="Times New Roman" w:eastAsia="仿宋_GB2312" w:cs="Times New Roman"/>
          <w:kern w:val="0"/>
          <w:sz w:val="32"/>
          <w:szCs w:val="32"/>
          <w:lang w:eastAsia="zh-CN"/>
        </w:rPr>
        <w:t>扩大招生规模，为</w:t>
      </w:r>
      <w:r>
        <w:rPr>
          <w:rFonts w:hint="eastAsia" w:ascii="Times New Roman" w:hAnsi="Times New Roman" w:eastAsia="仿宋_GB2312" w:cs="Times New Roman"/>
          <w:kern w:val="0"/>
          <w:sz w:val="32"/>
          <w:szCs w:val="32"/>
        </w:rPr>
        <w:t>地方经济建设服务</w:t>
      </w:r>
      <w:r>
        <w:rPr>
          <w:rFonts w:hint="eastAsia" w:ascii="Times New Roman" w:hAnsi="Times New Roman" w:eastAsia="仿宋_GB2312" w:cs="Times New Roman"/>
          <w:kern w:val="0"/>
          <w:sz w:val="32"/>
          <w:szCs w:val="32"/>
          <w:lang w:eastAsia="zh-CN"/>
        </w:rPr>
        <w:t>助力</w:t>
      </w:r>
      <w:r>
        <w:rPr>
          <w:rFonts w:hint="eastAsia" w:ascii="Times New Roman" w:hAnsi="Times New Roman" w:eastAsia="仿宋_GB2312" w:cs="Times New Roman"/>
          <w:kern w:val="0"/>
          <w:sz w:val="32"/>
          <w:szCs w:val="32"/>
        </w:rPr>
        <w:t>。</w:t>
      </w:r>
    </w:p>
    <w:p>
      <w:pPr>
        <w:pStyle w:val="35"/>
        <w:pageBreakBefore w:val="0"/>
        <w:kinsoku/>
        <w:wordWrap/>
        <w:overflowPunct/>
        <w:topLinePunct w:val="0"/>
        <w:autoSpaceDE/>
        <w:autoSpaceDN/>
        <w:bidi w:val="0"/>
        <w:spacing w:line="600" w:lineRule="exact"/>
        <w:ind w:left="630"/>
        <w:rPr>
          <w:rFonts w:ascii="Times New Roman" w:hAnsi="Times New Roman" w:eastAsia="楷体_GB2312" w:cs="Times New Roman"/>
          <w:kern w:val="2"/>
        </w:rPr>
      </w:pPr>
      <w:r>
        <w:rPr>
          <w:rFonts w:ascii="Times New Roman" w:hAnsi="Times New Roman" w:eastAsia="楷体_GB2312" w:cs="Times New Roman"/>
          <w:kern w:val="2"/>
        </w:rPr>
        <w:t>（三）专业人才培养方案制订及调整情况</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hint="eastAsia"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依托学校相关专业优秀教师资源，开展部分专业线上线下混合教学模式的探索，利用互联网</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继续教育的教学管理平台建设，借助混合式教学模式的改革，结合在线课程的录制工作，分批次的开始修订人才培养方案及课程大纲。在人才培养方案及课程大纲的修订工作中，在原相关专业人才培养方案及课程大纲的基础上，认真贯彻落实国家教育部和省教育厅的有关规定和要求，遵循高等学历继续教育教学规律，把握教学及学习的特点，以满足学习者学习发展需求为导向，以学习者职业能力提升为重点，结合学校实际，充分吸收教学改革和教学研究成果，对知识点进行调整及更新。以经济社会需求为导向，以提高高等学历继续教育学生知识、能力、素质为目标，积极改革培养模式、教学内容，优化课程体系，规范人才培养方案的标准和要求，科学设置课程体系，突出学校高等学历继续教育的办学优势和特色，培养具有较高综合素养、适应职业发展需要、具有创新意识的应用型人才。</w:t>
      </w:r>
      <w:r>
        <w:rPr>
          <w:rFonts w:hint="eastAsia" w:ascii="Times New Roman" w:hAnsi="Times New Roman" w:eastAsia="仿宋_GB2312" w:cs="Times New Roman"/>
          <w:kern w:val="0"/>
          <w:sz w:val="32"/>
          <w:szCs w:val="32"/>
        </w:rPr>
        <w:t>2020年，</w:t>
      </w:r>
      <w:r>
        <w:rPr>
          <w:rFonts w:hint="eastAsia" w:ascii="Times New Roman" w:hAnsi="Times New Roman" w:eastAsia="仿宋_GB2312" w:cs="Times New Roman"/>
          <w:kern w:val="0"/>
          <w:sz w:val="32"/>
          <w:szCs w:val="32"/>
          <w:lang w:eastAsia="zh-CN"/>
        </w:rPr>
        <w:t>已完成</w:t>
      </w:r>
      <w:r>
        <w:rPr>
          <w:rFonts w:hint="eastAsia" w:ascii="Times New Roman" w:hAnsi="Times New Roman" w:eastAsia="仿宋_GB2312" w:cs="Times New Roman"/>
          <w:kern w:val="0"/>
          <w:sz w:val="32"/>
          <w:szCs w:val="32"/>
        </w:rPr>
        <w:t>混合教学模式</w:t>
      </w:r>
      <w:r>
        <w:rPr>
          <w:rFonts w:hint="eastAsia" w:ascii="Times New Roman" w:hAnsi="Times New Roman" w:eastAsia="仿宋_GB2312" w:cs="Times New Roman"/>
          <w:kern w:val="0"/>
          <w:sz w:val="32"/>
          <w:szCs w:val="32"/>
          <w:lang w:eastAsia="zh-CN"/>
        </w:rPr>
        <w:t>六个专业</w:t>
      </w:r>
      <w:r>
        <w:rPr>
          <w:rFonts w:hint="eastAsia" w:ascii="Times New Roman" w:hAnsi="Times New Roman" w:eastAsia="仿宋_GB2312" w:cs="Times New Roman"/>
          <w:kern w:val="0"/>
          <w:sz w:val="32"/>
          <w:szCs w:val="32"/>
          <w:lang w:val="en-US" w:eastAsia="zh-CN"/>
        </w:rPr>
        <w:t>50余门课程大纲修订。</w:t>
      </w:r>
    </w:p>
    <w:p>
      <w:pPr>
        <w:pStyle w:val="3"/>
        <w:pageBreakBefore w:val="0"/>
        <w:numPr>
          <w:ilvl w:val="0"/>
          <w:numId w:val="0"/>
        </w:numPr>
        <w:kinsoku/>
        <w:wordWrap/>
        <w:overflowPunct/>
        <w:topLinePunct w:val="0"/>
        <w:autoSpaceDE/>
        <w:autoSpaceDN/>
        <w:bidi w:val="0"/>
        <w:spacing w:before="0" w:after="0" w:line="600" w:lineRule="exact"/>
        <w:ind w:leftChars="0" w:firstLine="640" w:firstLineChars="200"/>
        <w:rPr>
          <w:rFonts w:ascii="Times New Roman" w:hAnsi="Times New Roman" w:eastAsia="黑体" w:cs="Times New Roman"/>
          <w:b w:val="0"/>
        </w:rPr>
      </w:pPr>
      <w:r>
        <w:rPr>
          <w:rFonts w:hint="eastAsia" w:ascii="Times New Roman" w:hAnsi="Times New Roman" w:eastAsia="黑体" w:cs="Times New Roman"/>
          <w:b w:val="0"/>
          <w:lang w:eastAsia="zh-CN"/>
        </w:rPr>
        <w:t>三、</w:t>
      </w:r>
      <w:r>
        <w:rPr>
          <w:rFonts w:ascii="Times New Roman" w:hAnsi="Times New Roman" w:eastAsia="黑体" w:cs="Times New Roman"/>
          <w:b w:val="0"/>
        </w:rPr>
        <w:t>人才培养</w:t>
      </w:r>
    </w:p>
    <w:p>
      <w:pPr>
        <w:pStyle w:val="35"/>
        <w:pageBreakBefore w:val="0"/>
        <w:kinsoku/>
        <w:wordWrap/>
        <w:overflowPunct/>
        <w:topLinePunct w:val="0"/>
        <w:autoSpaceDE/>
        <w:autoSpaceDN/>
        <w:bidi w:val="0"/>
        <w:spacing w:line="600" w:lineRule="exact"/>
        <w:ind w:firstLine="643" w:firstLineChars="200"/>
        <w:rPr>
          <w:rFonts w:ascii="Times New Roman" w:hAnsi="Times New Roman" w:eastAsia="楷体_GB2312" w:cs="Times New Roman"/>
          <w:kern w:val="2"/>
        </w:rPr>
      </w:pPr>
      <w:r>
        <w:rPr>
          <w:rFonts w:ascii="Times New Roman" w:hAnsi="Times New Roman" w:eastAsia="楷体_GB2312" w:cs="Times New Roman"/>
          <w:kern w:val="2"/>
        </w:rPr>
        <w:t>（一）学历继续教育情况</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1.总体规模</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哈尔滨工程大学高等学历继续教育现有在籍学生数</w:t>
      </w:r>
      <w:r>
        <w:rPr>
          <w:rFonts w:ascii="Times New Roman" w:hAnsi="Times New Roman" w:eastAsia="仿宋_GB2312" w:cs="Times New Roman"/>
          <w:kern w:val="0"/>
          <w:sz w:val="32"/>
          <w:szCs w:val="32"/>
        </w:rPr>
        <w:t>2257</w:t>
      </w:r>
      <w:r>
        <w:rPr>
          <w:rFonts w:hint="eastAsia" w:ascii="Times New Roman" w:hAnsi="Times New Roman" w:eastAsia="仿宋_GB2312" w:cs="仿宋_GB2312"/>
          <w:kern w:val="0"/>
          <w:sz w:val="32"/>
          <w:szCs w:val="32"/>
        </w:rPr>
        <w:t>人，共分为高起本、专升本两个层次，学习形式为函授，主要涉及船舶与海洋工程、土木工程、建筑环境与能源应用工程、给排水科学与工程、电气工程及其自动化、工商管理、法学、轮机工程等</w:t>
      </w:r>
      <w:r>
        <w:rPr>
          <w:rFonts w:ascii="Times New Roman" w:hAnsi="Times New Roman" w:eastAsia="仿宋_GB2312" w:cs="Times New Roman"/>
          <w:kern w:val="0"/>
          <w:sz w:val="32"/>
          <w:szCs w:val="32"/>
        </w:rPr>
        <w:t>10</w:t>
      </w:r>
      <w:r>
        <w:rPr>
          <w:rFonts w:hint="eastAsia" w:ascii="Times New Roman" w:hAnsi="Times New Roman" w:eastAsia="仿宋_GB2312" w:cs="仿宋_GB2312"/>
          <w:kern w:val="0"/>
          <w:sz w:val="32"/>
          <w:szCs w:val="32"/>
        </w:rPr>
        <w:t>个本科专业，共计</w:t>
      </w:r>
      <w:r>
        <w:rPr>
          <w:rFonts w:ascii="Times New Roman" w:hAnsi="Times New Roman" w:eastAsia="仿宋_GB2312" w:cs="Times New Roman"/>
          <w:kern w:val="0"/>
          <w:sz w:val="32"/>
          <w:szCs w:val="32"/>
        </w:rPr>
        <w:t>2215</w:t>
      </w:r>
      <w:r>
        <w:rPr>
          <w:rFonts w:hint="eastAsia" w:ascii="Times New Roman" w:hAnsi="Times New Roman" w:eastAsia="仿宋_GB2312" w:cs="仿宋_GB2312"/>
          <w:kern w:val="0"/>
          <w:sz w:val="32"/>
          <w:szCs w:val="32"/>
        </w:rPr>
        <w:t>人；工商企业管理、计算机应用技术、经济管理等</w:t>
      </w: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个专科专业，共计</w:t>
      </w:r>
      <w:r>
        <w:rPr>
          <w:rFonts w:ascii="Times New Roman" w:hAnsi="Times New Roman" w:eastAsia="仿宋_GB2312" w:cs="Times New Roman"/>
          <w:kern w:val="0"/>
          <w:sz w:val="32"/>
          <w:szCs w:val="32"/>
        </w:rPr>
        <w:t>42</w:t>
      </w:r>
      <w:r>
        <w:rPr>
          <w:rFonts w:hint="eastAsia" w:ascii="Times New Roman" w:hAnsi="Times New Roman" w:eastAsia="仿宋_GB2312" w:cs="仿宋_GB2312"/>
          <w:kern w:val="0"/>
          <w:sz w:val="32"/>
          <w:szCs w:val="32"/>
        </w:rPr>
        <w:t>人（</w:t>
      </w:r>
      <w:r>
        <w:rPr>
          <w:rFonts w:ascii="Times New Roman" w:hAnsi="Times New Roman" w:eastAsia="仿宋_GB2312" w:cs="Times New Roman"/>
          <w:kern w:val="0"/>
          <w:sz w:val="32"/>
          <w:szCs w:val="32"/>
        </w:rPr>
        <w:t>2017</w:t>
      </w:r>
      <w:r>
        <w:rPr>
          <w:rFonts w:hint="eastAsia" w:ascii="Times New Roman" w:hAnsi="Times New Roman" w:eastAsia="仿宋_GB2312" w:cs="仿宋_GB2312"/>
          <w:kern w:val="0"/>
          <w:sz w:val="32"/>
          <w:szCs w:val="32"/>
        </w:rPr>
        <w:t>年专科专业停止招生，现还有在籍学生</w:t>
      </w:r>
      <w:r>
        <w:rPr>
          <w:rFonts w:ascii="Times New Roman" w:hAnsi="Times New Roman" w:eastAsia="仿宋_GB2312" w:cs="Times New Roman"/>
          <w:kern w:val="0"/>
          <w:sz w:val="32"/>
          <w:szCs w:val="32"/>
        </w:rPr>
        <w:t>42</w:t>
      </w:r>
      <w:r>
        <w:rPr>
          <w:rFonts w:hint="eastAsia" w:ascii="Times New Roman" w:hAnsi="Times New Roman" w:eastAsia="仿宋_GB2312" w:cs="仿宋_GB2312"/>
          <w:kern w:val="0"/>
          <w:sz w:val="32"/>
          <w:szCs w:val="32"/>
        </w:rPr>
        <w:t>人）。各专业具体学生数如表</w:t>
      </w: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所示：</w:t>
      </w:r>
    </w:p>
    <w:p>
      <w:pPr>
        <w:snapToGrid w:val="0"/>
        <w:spacing w:line="600" w:lineRule="exact"/>
        <w:jc w:val="center"/>
        <w:rPr>
          <w:rFonts w:ascii="Times New Roman" w:hAnsi="楷体" w:eastAsia="楷体" w:cs="Times New Roman"/>
          <w:kern w:val="0"/>
          <w:sz w:val="30"/>
          <w:szCs w:val="30"/>
        </w:rPr>
      </w:pPr>
      <w:r>
        <w:rPr>
          <w:rFonts w:hint="eastAsia" w:ascii="Times New Roman" w:hAnsi="楷体" w:eastAsia="楷体" w:cs="楷体"/>
          <w:kern w:val="0"/>
          <w:sz w:val="30"/>
          <w:szCs w:val="30"/>
        </w:rPr>
        <w:t>表</w:t>
      </w:r>
      <w:r>
        <w:rPr>
          <w:rFonts w:ascii="Times New Roman" w:hAnsi="楷体" w:eastAsia="楷体" w:cs="Times New Roman"/>
          <w:kern w:val="0"/>
          <w:sz w:val="30"/>
          <w:szCs w:val="30"/>
        </w:rPr>
        <w:t>1    2020</w:t>
      </w:r>
      <w:r>
        <w:rPr>
          <w:rFonts w:hint="eastAsia" w:ascii="Times New Roman" w:hAnsi="楷体" w:eastAsia="楷体" w:cs="楷体"/>
          <w:kern w:val="0"/>
          <w:sz w:val="30"/>
          <w:szCs w:val="30"/>
        </w:rPr>
        <w:t>年在籍学生数</w:t>
      </w:r>
    </w:p>
    <w:tbl>
      <w:tblPr>
        <w:tblStyle w:val="13"/>
        <w:tblW w:w="0" w:type="auto"/>
        <w:tblInd w:w="-106" w:type="dxa"/>
        <w:tblLayout w:type="fixed"/>
        <w:tblCellMar>
          <w:top w:w="0" w:type="dxa"/>
          <w:left w:w="108" w:type="dxa"/>
          <w:bottom w:w="0" w:type="dxa"/>
          <w:right w:w="108" w:type="dxa"/>
        </w:tblCellMar>
      </w:tblPr>
      <w:tblGrid>
        <w:gridCol w:w="1156"/>
        <w:gridCol w:w="1157"/>
        <w:gridCol w:w="4022"/>
        <w:gridCol w:w="2889"/>
      </w:tblGrid>
      <w:tr>
        <w:tblPrEx>
          <w:tblCellMar>
            <w:top w:w="0" w:type="dxa"/>
            <w:left w:w="108" w:type="dxa"/>
            <w:bottom w:w="0" w:type="dxa"/>
            <w:right w:w="108" w:type="dxa"/>
          </w:tblCellMar>
        </w:tblPrEx>
        <w:trPr>
          <w:trHeight w:val="255" w:hRule="atLeast"/>
        </w:trPr>
        <w:tc>
          <w:tcPr>
            <w:tcW w:w="1156"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层次</w:t>
            </w:r>
          </w:p>
        </w:tc>
        <w:tc>
          <w:tcPr>
            <w:tcW w:w="1157"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合计</w:t>
            </w:r>
          </w:p>
        </w:tc>
        <w:tc>
          <w:tcPr>
            <w:tcW w:w="4022"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专业</w:t>
            </w:r>
          </w:p>
        </w:tc>
        <w:tc>
          <w:tcPr>
            <w:tcW w:w="2889"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在籍学生数</w:t>
            </w:r>
          </w:p>
        </w:tc>
      </w:tr>
      <w:tr>
        <w:tblPrEx>
          <w:tblCellMar>
            <w:top w:w="0" w:type="dxa"/>
            <w:left w:w="108" w:type="dxa"/>
            <w:bottom w:w="0" w:type="dxa"/>
            <w:right w:w="108" w:type="dxa"/>
          </w:tblCellMar>
        </w:tblPrEx>
        <w:trPr>
          <w:trHeight w:val="255" w:hRule="atLeast"/>
        </w:trPr>
        <w:tc>
          <w:tcPr>
            <w:tcW w:w="1156" w:type="dxa"/>
            <w:vMerge w:val="restart"/>
            <w:tcBorders>
              <w:top w:val="nil"/>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高起专</w:t>
            </w:r>
          </w:p>
        </w:tc>
        <w:tc>
          <w:tcPr>
            <w:tcW w:w="1157" w:type="dxa"/>
            <w:vMerge w:val="restart"/>
            <w:tcBorders>
              <w:top w:val="nil"/>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42</w:t>
            </w: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工商企业管理</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计算机应用技术</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14</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建筑工程技术</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7</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金融学</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6</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经济管理</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57" w:type="dxa"/>
            <w:vMerge w:val="continue"/>
            <w:tcBorders>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市场营销</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w:t>
            </w:r>
          </w:p>
        </w:tc>
      </w:tr>
      <w:tr>
        <w:tblPrEx>
          <w:tblCellMar>
            <w:top w:w="0" w:type="dxa"/>
            <w:left w:w="108" w:type="dxa"/>
            <w:bottom w:w="0" w:type="dxa"/>
            <w:right w:w="108" w:type="dxa"/>
          </w:tblCellMar>
        </w:tblPrEx>
        <w:trPr>
          <w:trHeight w:val="255" w:hRule="atLeast"/>
        </w:trPr>
        <w:tc>
          <w:tcPr>
            <w:tcW w:w="1156" w:type="dxa"/>
            <w:vMerge w:val="restart"/>
            <w:tcBorders>
              <w:top w:val="nil"/>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专升本</w:t>
            </w:r>
          </w:p>
        </w:tc>
        <w:tc>
          <w:tcPr>
            <w:tcW w:w="1157" w:type="dxa"/>
            <w:vMerge w:val="restart"/>
            <w:tcBorders>
              <w:top w:val="nil"/>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2077</w:t>
            </w: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船舶与海洋工程</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92</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机械设计制造及其自动化</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94</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工商管理</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322</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轮机工程</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5</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能源与动力工程</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3</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电气工程及其自动化</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230</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土木工程</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1138</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给排水科学与工程</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68</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1157" w:type="dxa"/>
            <w:vMerge w:val="continue"/>
            <w:tcBorders>
              <w:left w:val="nil"/>
              <w:right w:val="single" w:color="auto" w:sz="4" w:space="0"/>
            </w:tcBorders>
            <w:noWrap/>
            <w:vAlign w:val="center"/>
          </w:tcPr>
          <w:p>
            <w:pPr>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建筑环境与能源应用工程</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71</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57" w:type="dxa"/>
            <w:vMerge w:val="continue"/>
            <w:tcBorders>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法学</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54</w:t>
            </w:r>
          </w:p>
        </w:tc>
      </w:tr>
      <w:tr>
        <w:tblPrEx>
          <w:tblCellMar>
            <w:top w:w="0" w:type="dxa"/>
            <w:left w:w="108" w:type="dxa"/>
            <w:bottom w:w="0" w:type="dxa"/>
            <w:right w:w="108" w:type="dxa"/>
          </w:tblCellMar>
        </w:tblPrEx>
        <w:trPr>
          <w:trHeight w:val="255" w:hRule="atLeast"/>
        </w:trPr>
        <w:tc>
          <w:tcPr>
            <w:tcW w:w="1156" w:type="dxa"/>
            <w:vMerge w:val="restart"/>
            <w:tcBorders>
              <w:top w:val="nil"/>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高起本</w:t>
            </w:r>
          </w:p>
        </w:tc>
        <w:tc>
          <w:tcPr>
            <w:tcW w:w="1157" w:type="dxa"/>
            <w:vMerge w:val="restart"/>
            <w:tcBorders>
              <w:top w:val="nil"/>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138</w:t>
            </w: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工商管理</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35</w:t>
            </w:r>
          </w:p>
        </w:tc>
      </w:tr>
      <w:tr>
        <w:tblPrEx>
          <w:tblCellMar>
            <w:top w:w="0" w:type="dxa"/>
            <w:left w:w="108" w:type="dxa"/>
            <w:bottom w:w="0" w:type="dxa"/>
            <w:right w:w="108" w:type="dxa"/>
          </w:tblCellMar>
        </w:tblPrEx>
        <w:trPr>
          <w:trHeight w:val="255" w:hRule="atLeast"/>
        </w:trPr>
        <w:tc>
          <w:tcPr>
            <w:tcW w:w="1156" w:type="dxa"/>
            <w:vMerge w:val="continue"/>
            <w:tcBorders>
              <w:left w:val="single" w:color="auto" w:sz="4" w:space="0"/>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57" w:type="dxa"/>
            <w:vMerge w:val="continue"/>
            <w:tcBorders>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土木工程</w:t>
            </w: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103</w:t>
            </w:r>
          </w:p>
        </w:tc>
      </w:tr>
      <w:tr>
        <w:tblPrEx>
          <w:tblCellMar>
            <w:top w:w="0" w:type="dxa"/>
            <w:left w:w="108" w:type="dxa"/>
            <w:bottom w:w="0" w:type="dxa"/>
            <w:right w:w="108" w:type="dxa"/>
          </w:tblCellMar>
        </w:tblPrEx>
        <w:trPr>
          <w:trHeight w:val="255" w:hRule="atLeast"/>
        </w:trPr>
        <w:tc>
          <w:tcPr>
            <w:tcW w:w="1156"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总计</w:t>
            </w:r>
          </w:p>
        </w:tc>
        <w:tc>
          <w:tcPr>
            <w:tcW w:w="1157"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2257</w:t>
            </w:r>
          </w:p>
        </w:tc>
        <w:tc>
          <w:tcPr>
            <w:tcW w:w="4022"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288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2257</w:t>
            </w:r>
          </w:p>
        </w:tc>
      </w:tr>
    </w:tbl>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hint="eastAsia" w:ascii="Times New Roman" w:hAnsi="Times New Roman"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kern w:val="0"/>
          <w:sz w:val="32"/>
          <w:szCs w:val="32"/>
          <w:lang w:eastAsia="zh-CN"/>
        </w:rPr>
        <w:t>招生情况</w:t>
      </w:r>
    </w:p>
    <w:p>
      <w:pPr>
        <w:keepNext w:val="0"/>
        <w:keepLines w:val="0"/>
        <w:pageBreakBefore w:val="0"/>
        <w:kinsoku/>
        <w:wordWrap/>
        <w:overflowPunct/>
        <w:topLinePunct w:val="0"/>
        <w:autoSpaceDE/>
        <w:autoSpaceDN/>
        <w:bidi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2019</w:t>
      </w:r>
      <w:r>
        <w:rPr>
          <w:rFonts w:hint="eastAsia" w:ascii="Times New Roman" w:hAnsi="Times New Roman" w:eastAsia="仿宋_GB2312" w:cs="仿宋_GB2312"/>
          <w:kern w:val="0"/>
          <w:sz w:val="32"/>
          <w:szCs w:val="32"/>
        </w:rPr>
        <w:t>年共录取</w:t>
      </w:r>
      <w:r>
        <w:rPr>
          <w:rFonts w:ascii="Times New Roman" w:hAnsi="Times New Roman" w:eastAsia="仿宋_GB2312" w:cs="Times New Roman"/>
          <w:kern w:val="0"/>
          <w:sz w:val="32"/>
          <w:szCs w:val="32"/>
        </w:rPr>
        <w:t>1187</w:t>
      </w:r>
      <w:r>
        <w:rPr>
          <w:rFonts w:hint="eastAsia" w:ascii="Times New Roman" w:hAnsi="Times New Roman" w:eastAsia="仿宋_GB2312" w:cs="仿宋_GB2312"/>
          <w:kern w:val="0"/>
          <w:sz w:val="32"/>
          <w:szCs w:val="32"/>
        </w:rPr>
        <w:t>人，</w:t>
      </w:r>
      <w:r>
        <w:rPr>
          <w:rFonts w:ascii="Times New Roman" w:hAnsi="Times New Roman" w:eastAsia="仿宋_GB2312" w:cs="Times New Roman"/>
          <w:kern w:val="0"/>
          <w:sz w:val="32"/>
          <w:szCs w:val="32"/>
        </w:rPr>
        <w:t>2020</w:t>
      </w:r>
      <w:r>
        <w:rPr>
          <w:rFonts w:hint="eastAsia" w:ascii="Times New Roman" w:hAnsi="Times New Roman" w:eastAsia="仿宋_GB2312" w:cs="仿宋_GB2312"/>
          <w:kern w:val="0"/>
          <w:sz w:val="32"/>
          <w:szCs w:val="32"/>
        </w:rPr>
        <w:t>年学籍注册</w:t>
      </w:r>
      <w:r>
        <w:rPr>
          <w:rFonts w:ascii="Times New Roman" w:hAnsi="Times New Roman" w:eastAsia="仿宋_GB2312" w:cs="Times New Roman"/>
          <w:kern w:val="0"/>
          <w:sz w:val="32"/>
          <w:szCs w:val="32"/>
        </w:rPr>
        <w:t>1164</w:t>
      </w:r>
      <w:r>
        <w:rPr>
          <w:rFonts w:hint="eastAsia" w:ascii="Times New Roman" w:hAnsi="Times New Roman" w:eastAsia="仿宋_GB2312" w:cs="仿宋_GB2312"/>
          <w:kern w:val="0"/>
          <w:sz w:val="32"/>
          <w:szCs w:val="32"/>
        </w:rPr>
        <w:t>人，按层次和专业细分，如表</w:t>
      </w: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所示：</w:t>
      </w:r>
    </w:p>
    <w:p>
      <w:pPr>
        <w:snapToGrid w:val="0"/>
        <w:spacing w:line="600" w:lineRule="exact"/>
        <w:jc w:val="center"/>
        <w:rPr>
          <w:rFonts w:ascii="Times New Roman" w:hAnsi="楷体" w:eastAsia="楷体" w:cs="Times New Roman"/>
          <w:kern w:val="0"/>
          <w:sz w:val="30"/>
          <w:szCs w:val="30"/>
        </w:rPr>
      </w:pPr>
      <w:r>
        <w:rPr>
          <w:rFonts w:hint="eastAsia" w:ascii="Times New Roman" w:hAnsi="楷体" w:eastAsia="楷体" w:cs="楷体"/>
          <w:kern w:val="0"/>
          <w:sz w:val="30"/>
          <w:szCs w:val="30"/>
        </w:rPr>
        <w:t>表</w:t>
      </w:r>
      <w:r>
        <w:rPr>
          <w:rFonts w:ascii="Times New Roman" w:hAnsi="楷体" w:eastAsia="楷体" w:cs="Times New Roman"/>
          <w:kern w:val="0"/>
          <w:sz w:val="30"/>
          <w:szCs w:val="30"/>
        </w:rPr>
        <w:t>2    2020</w:t>
      </w:r>
      <w:r>
        <w:rPr>
          <w:rFonts w:hint="eastAsia" w:ascii="Times New Roman" w:hAnsi="楷体" w:eastAsia="楷体" w:cs="楷体"/>
          <w:kern w:val="0"/>
          <w:sz w:val="30"/>
          <w:szCs w:val="30"/>
        </w:rPr>
        <w:t>级新生学生数</w:t>
      </w:r>
    </w:p>
    <w:tbl>
      <w:tblPr>
        <w:tblStyle w:val="13"/>
        <w:tblW w:w="9025" w:type="dxa"/>
        <w:tblInd w:w="-106" w:type="dxa"/>
        <w:tblLayout w:type="autofit"/>
        <w:tblCellMar>
          <w:top w:w="0" w:type="dxa"/>
          <w:left w:w="108" w:type="dxa"/>
          <w:bottom w:w="0" w:type="dxa"/>
          <w:right w:w="108" w:type="dxa"/>
        </w:tblCellMar>
      </w:tblPr>
      <w:tblGrid>
        <w:gridCol w:w="1575"/>
        <w:gridCol w:w="1575"/>
        <w:gridCol w:w="4300"/>
        <w:gridCol w:w="1575"/>
      </w:tblGrid>
      <w:tr>
        <w:tblPrEx>
          <w:tblCellMar>
            <w:top w:w="0" w:type="dxa"/>
            <w:left w:w="108" w:type="dxa"/>
            <w:bottom w:w="0" w:type="dxa"/>
            <w:right w:w="108" w:type="dxa"/>
          </w:tblCellMar>
        </w:tblPrEx>
        <w:trPr>
          <w:trHeight w:val="255" w:hRule="atLeast"/>
        </w:trPr>
        <w:tc>
          <w:tcPr>
            <w:tcW w:w="1575" w:type="dxa"/>
            <w:tcBorders>
              <w:top w:val="single" w:color="auto" w:sz="4" w:space="0"/>
              <w:left w:val="single" w:color="auto" w:sz="4" w:space="0"/>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层次</w:t>
            </w:r>
          </w:p>
        </w:tc>
        <w:tc>
          <w:tcPr>
            <w:tcW w:w="1575"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合计</w:t>
            </w:r>
          </w:p>
        </w:tc>
        <w:tc>
          <w:tcPr>
            <w:tcW w:w="4300"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专业</w:t>
            </w:r>
          </w:p>
        </w:tc>
        <w:tc>
          <w:tcPr>
            <w:tcW w:w="1575" w:type="dxa"/>
            <w:tcBorders>
              <w:top w:val="single" w:color="auto" w:sz="4" w:space="0"/>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人数</w:t>
            </w:r>
          </w:p>
        </w:tc>
      </w:tr>
      <w:tr>
        <w:tblPrEx>
          <w:tblCellMar>
            <w:top w:w="0" w:type="dxa"/>
            <w:left w:w="108" w:type="dxa"/>
            <w:bottom w:w="0" w:type="dxa"/>
            <w:right w:w="108" w:type="dxa"/>
          </w:tblCellMar>
        </w:tblPrEx>
        <w:trPr>
          <w:trHeight w:val="255" w:hRule="atLeast"/>
        </w:trPr>
        <w:tc>
          <w:tcPr>
            <w:tcW w:w="1575" w:type="dxa"/>
            <w:vMerge w:val="restart"/>
            <w:tcBorders>
              <w:top w:val="nil"/>
              <w:left w:val="single" w:color="auto" w:sz="4" w:space="0"/>
              <w:bottom w:val="single" w:color="000000"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专升本</w:t>
            </w:r>
          </w:p>
        </w:tc>
        <w:tc>
          <w:tcPr>
            <w:tcW w:w="1575" w:type="dxa"/>
            <w:vMerge w:val="restart"/>
            <w:tcBorders>
              <w:top w:val="nil"/>
              <w:left w:val="single" w:color="auto" w:sz="4" w:space="0"/>
              <w:bottom w:val="single" w:color="000000"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1129</w:t>
            </w: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船舶与海洋工程</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44</w:t>
            </w:r>
          </w:p>
        </w:tc>
      </w:tr>
      <w:tr>
        <w:tblPrEx>
          <w:tblCellMar>
            <w:top w:w="0" w:type="dxa"/>
            <w:left w:w="108" w:type="dxa"/>
            <w:bottom w:w="0" w:type="dxa"/>
            <w:right w:w="108" w:type="dxa"/>
          </w:tblCellMar>
        </w:tblPrEx>
        <w:trPr>
          <w:trHeight w:val="255"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机械设计制造及其自动化</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72</w:t>
            </w:r>
          </w:p>
        </w:tc>
      </w:tr>
      <w:tr>
        <w:tblPrEx>
          <w:tblCellMar>
            <w:top w:w="0" w:type="dxa"/>
            <w:left w:w="108" w:type="dxa"/>
            <w:bottom w:w="0" w:type="dxa"/>
            <w:right w:w="108" w:type="dxa"/>
          </w:tblCellMar>
        </w:tblPrEx>
        <w:trPr>
          <w:trHeight w:val="255"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工商管理</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182</w:t>
            </w:r>
          </w:p>
        </w:tc>
      </w:tr>
      <w:tr>
        <w:tblPrEx>
          <w:tblCellMar>
            <w:top w:w="0" w:type="dxa"/>
            <w:left w:w="108" w:type="dxa"/>
            <w:bottom w:w="0" w:type="dxa"/>
            <w:right w:w="108" w:type="dxa"/>
          </w:tblCellMar>
        </w:tblPrEx>
        <w:trPr>
          <w:trHeight w:val="255"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轮机工程</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4</w:t>
            </w:r>
          </w:p>
        </w:tc>
      </w:tr>
      <w:tr>
        <w:tblPrEx>
          <w:tblCellMar>
            <w:top w:w="0" w:type="dxa"/>
            <w:left w:w="108" w:type="dxa"/>
            <w:bottom w:w="0" w:type="dxa"/>
            <w:right w:w="108" w:type="dxa"/>
          </w:tblCellMar>
        </w:tblPrEx>
        <w:trPr>
          <w:trHeight w:val="255"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电气工程及其自动化</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143</w:t>
            </w:r>
          </w:p>
        </w:tc>
      </w:tr>
      <w:tr>
        <w:tblPrEx>
          <w:tblCellMar>
            <w:top w:w="0" w:type="dxa"/>
            <w:left w:w="108" w:type="dxa"/>
            <w:bottom w:w="0" w:type="dxa"/>
            <w:right w:w="108" w:type="dxa"/>
          </w:tblCellMar>
        </w:tblPrEx>
        <w:trPr>
          <w:trHeight w:val="255"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土木工程</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594</w:t>
            </w:r>
          </w:p>
        </w:tc>
      </w:tr>
      <w:tr>
        <w:tblPrEx>
          <w:tblCellMar>
            <w:top w:w="0" w:type="dxa"/>
            <w:left w:w="108" w:type="dxa"/>
            <w:bottom w:w="0" w:type="dxa"/>
            <w:right w:w="108" w:type="dxa"/>
          </w:tblCellMar>
        </w:tblPrEx>
        <w:trPr>
          <w:trHeight w:val="255"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法学</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18</w:t>
            </w:r>
          </w:p>
        </w:tc>
      </w:tr>
      <w:tr>
        <w:tblPrEx>
          <w:tblCellMar>
            <w:top w:w="0" w:type="dxa"/>
            <w:left w:w="108" w:type="dxa"/>
            <w:bottom w:w="0" w:type="dxa"/>
            <w:right w:w="108" w:type="dxa"/>
          </w:tblCellMar>
        </w:tblPrEx>
        <w:trPr>
          <w:trHeight w:val="255"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给排水科学与工程</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34</w:t>
            </w:r>
          </w:p>
        </w:tc>
      </w:tr>
      <w:tr>
        <w:tblPrEx>
          <w:tblCellMar>
            <w:top w:w="0" w:type="dxa"/>
            <w:left w:w="108" w:type="dxa"/>
            <w:bottom w:w="0" w:type="dxa"/>
            <w:right w:w="108" w:type="dxa"/>
          </w:tblCellMar>
        </w:tblPrEx>
        <w:trPr>
          <w:trHeight w:val="255"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建筑环境与设备工程</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38</w:t>
            </w:r>
          </w:p>
        </w:tc>
      </w:tr>
      <w:tr>
        <w:tblPrEx>
          <w:tblCellMar>
            <w:top w:w="0" w:type="dxa"/>
            <w:left w:w="108" w:type="dxa"/>
            <w:bottom w:w="0" w:type="dxa"/>
            <w:right w:w="108" w:type="dxa"/>
          </w:tblCellMar>
        </w:tblPrEx>
        <w:trPr>
          <w:trHeight w:val="255" w:hRule="atLeast"/>
        </w:trPr>
        <w:tc>
          <w:tcPr>
            <w:tcW w:w="1575" w:type="dxa"/>
            <w:vMerge w:val="restart"/>
            <w:tcBorders>
              <w:top w:val="nil"/>
              <w:left w:val="single" w:color="auto" w:sz="4" w:space="0"/>
              <w:bottom w:val="single" w:color="000000"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高起本</w:t>
            </w:r>
          </w:p>
        </w:tc>
        <w:tc>
          <w:tcPr>
            <w:tcW w:w="1575" w:type="dxa"/>
            <w:vMerge w:val="restart"/>
            <w:tcBorders>
              <w:top w:val="nil"/>
              <w:left w:val="single" w:color="auto" w:sz="4" w:space="0"/>
              <w:bottom w:val="single" w:color="000000"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35</w:t>
            </w: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土木工程</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23</w:t>
            </w:r>
          </w:p>
        </w:tc>
      </w:tr>
      <w:tr>
        <w:tblPrEx>
          <w:tblCellMar>
            <w:top w:w="0" w:type="dxa"/>
            <w:left w:w="108" w:type="dxa"/>
            <w:bottom w:w="0" w:type="dxa"/>
            <w:right w:w="108" w:type="dxa"/>
          </w:tblCellMar>
        </w:tblPrEx>
        <w:trPr>
          <w:trHeight w:val="255"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1575" w:type="dxa"/>
            <w:vMerge w:val="continue"/>
            <w:tcBorders>
              <w:top w:val="nil"/>
              <w:left w:val="single" w:color="auto" w:sz="4" w:space="0"/>
              <w:bottom w:val="single" w:color="000000" w:sz="4" w:space="0"/>
              <w:right w:val="single" w:color="auto" w:sz="4" w:space="0"/>
            </w:tcBorders>
            <w:vAlign w:val="center"/>
          </w:tcPr>
          <w:p>
            <w:pPr>
              <w:widowControl/>
              <w:spacing w:line="380" w:lineRule="exact"/>
              <w:jc w:val="center"/>
              <w:rPr>
                <w:rFonts w:ascii="Times New Roman" w:hAnsi="Times New Roman" w:eastAsia="仿宋_GB2312" w:cs="Times New Roman"/>
                <w:kern w:val="0"/>
              </w:rPr>
            </w:pP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工商管理</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CellMar>
            <w:top w:w="0" w:type="dxa"/>
            <w:left w:w="108" w:type="dxa"/>
            <w:bottom w:w="0" w:type="dxa"/>
            <w:right w:w="108" w:type="dxa"/>
          </w:tblCellMar>
        </w:tblPrEx>
        <w:trPr>
          <w:trHeight w:val="255" w:hRule="atLeast"/>
        </w:trPr>
        <w:tc>
          <w:tcPr>
            <w:tcW w:w="1575"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总计</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1164</w:t>
            </w:r>
          </w:p>
        </w:tc>
        <w:tc>
          <w:tcPr>
            <w:tcW w:w="4300"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575"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1164</w:t>
            </w:r>
          </w:p>
        </w:tc>
      </w:tr>
    </w:tbl>
    <w:p>
      <w:pPr>
        <w:spacing w:line="600" w:lineRule="exact"/>
        <w:ind w:firstLine="640" w:firstLineChars="200"/>
        <w:rPr>
          <w:rFonts w:ascii="Times New Roman" w:hAnsi="Times New Roman" w:eastAsia="仿宋_GB2312" w:cs="Times New Roman"/>
          <w:kern w:val="0"/>
          <w:sz w:val="32"/>
          <w:szCs w:val="32"/>
        </w:rPr>
      </w:pPr>
    </w:p>
    <w:p>
      <w:pPr>
        <w:numPr>
          <w:ilvl w:val="0"/>
          <w:numId w:val="0"/>
        </w:numPr>
        <w:spacing w:line="60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3.毕业情况</w:t>
      </w:r>
    </w:p>
    <w:p>
      <w:pPr>
        <w:numPr>
          <w:ilvl w:val="0"/>
          <w:numId w:val="0"/>
        </w:num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2020</w:t>
      </w:r>
      <w:r>
        <w:rPr>
          <w:rFonts w:hint="eastAsia" w:ascii="Times New Roman" w:hAnsi="Times New Roman" w:eastAsia="仿宋_GB2312" w:cs="仿宋_GB2312"/>
          <w:kern w:val="0"/>
          <w:sz w:val="32"/>
          <w:szCs w:val="32"/>
        </w:rPr>
        <w:t>届高等学历继续教育毕业生人数共计</w:t>
      </w:r>
      <w:r>
        <w:rPr>
          <w:rFonts w:ascii="Times New Roman" w:hAnsi="Times New Roman" w:eastAsia="仿宋_GB2312" w:cs="Times New Roman"/>
          <w:kern w:val="0"/>
          <w:sz w:val="32"/>
          <w:szCs w:val="32"/>
        </w:rPr>
        <w:t>706</w:t>
      </w:r>
      <w:r>
        <w:rPr>
          <w:rFonts w:hint="eastAsia" w:ascii="Times New Roman" w:hAnsi="Times New Roman" w:eastAsia="仿宋_GB2312" w:cs="仿宋_GB2312"/>
          <w:kern w:val="0"/>
          <w:sz w:val="32"/>
          <w:szCs w:val="32"/>
        </w:rPr>
        <w:t>人，其中专科人数为</w:t>
      </w: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人，本科生人数为</w:t>
      </w:r>
      <w:r>
        <w:rPr>
          <w:rFonts w:ascii="Times New Roman" w:hAnsi="Times New Roman" w:eastAsia="仿宋_GB2312" w:cs="Times New Roman"/>
          <w:kern w:val="0"/>
          <w:sz w:val="32"/>
          <w:szCs w:val="32"/>
        </w:rPr>
        <w:t>700</w:t>
      </w:r>
      <w:r>
        <w:rPr>
          <w:rFonts w:hint="eastAsia" w:ascii="Times New Roman" w:hAnsi="Times New Roman" w:eastAsia="仿宋_GB2312" w:cs="仿宋_GB2312"/>
          <w:kern w:val="0"/>
          <w:sz w:val="32"/>
          <w:szCs w:val="32"/>
        </w:rPr>
        <w:t>人，</w:t>
      </w:r>
      <w:r>
        <w:rPr>
          <w:rFonts w:ascii="Times New Roman" w:hAnsi="Times New Roman" w:eastAsia="仿宋_GB2312" w:cs="Times New Roman"/>
          <w:kern w:val="0"/>
          <w:sz w:val="32"/>
          <w:szCs w:val="32"/>
        </w:rPr>
        <w:t>2020</w:t>
      </w:r>
      <w:r>
        <w:rPr>
          <w:rFonts w:hint="eastAsia" w:ascii="Times New Roman" w:hAnsi="Times New Roman" w:eastAsia="仿宋_GB2312" w:cs="仿宋_GB2312"/>
          <w:kern w:val="0"/>
          <w:sz w:val="32"/>
          <w:szCs w:val="32"/>
        </w:rPr>
        <w:t>届高等学历继续教育毕业生分专业、分层次学生数如表</w:t>
      </w:r>
      <w:r>
        <w:rPr>
          <w:rFonts w:ascii="Times New Roman" w:hAnsi="Times New Roman" w:eastAsia="仿宋_GB2312" w:cs="Times New Roman"/>
          <w:kern w:val="0"/>
          <w:sz w:val="32"/>
          <w:szCs w:val="32"/>
        </w:rPr>
        <w:t>3</w:t>
      </w:r>
      <w:r>
        <w:rPr>
          <w:rFonts w:hint="eastAsia" w:ascii="Times New Roman" w:hAnsi="Times New Roman" w:eastAsia="仿宋_GB2312" w:cs="仿宋_GB2312"/>
          <w:kern w:val="0"/>
          <w:sz w:val="32"/>
          <w:szCs w:val="32"/>
        </w:rPr>
        <w:t>所示：</w:t>
      </w:r>
    </w:p>
    <w:p>
      <w:pPr>
        <w:snapToGrid w:val="0"/>
        <w:spacing w:line="600" w:lineRule="exact"/>
        <w:jc w:val="center"/>
        <w:rPr>
          <w:rFonts w:ascii="Times New Roman" w:hAnsi="楷体" w:eastAsia="楷体" w:cs="Times New Roman"/>
          <w:kern w:val="0"/>
          <w:sz w:val="30"/>
          <w:szCs w:val="30"/>
        </w:rPr>
      </w:pPr>
      <w:r>
        <w:rPr>
          <w:rFonts w:hint="eastAsia" w:ascii="Times New Roman" w:hAnsi="楷体" w:eastAsia="楷体" w:cs="楷体"/>
          <w:kern w:val="0"/>
          <w:sz w:val="30"/>
          <w:szCs w:val="30"/>
        </w:rPr>
        <w:t>表</w:t>
      </w:r>
      <w:r>
        <w:rPr>
          <w:rFonts w:ascii="Times New Roman" w:hAnsi="楷体" w:eastAsia="楷体" w:cs="Times New Roman"/>
          <w:kern w:val="0"/>
          <w:sz w:val="30"/>
          <w:szCs w:val="30"/>
        </w:rPr>
        <w:t xml:space="preserve">3    </w:t>
      </w:r>
      <w:r>
        <w:rPr>
          <w:rFonts w:hint="eastAsia" w:ascii="Times New Roman" w:hAnsi="楷体" w:eastAsia="楷体" w:cs="楷体"/>
          <w:kern w:val="0"/>
          <w:sz w:val="30"/>
          <w:szCs w:val="30"/>
        </w:rPr>
        <w:t>毕业生学生数</w:t>
      </w:r>
    </w:p>
    <w:tbl>
      <w:tblPr>
        <w:tblStyle w:val="13"/>
        <w:tblW w:w="9091" w:type="dxa"/>
        <w:tblInd w:w="-106" w:type="dxa"/>
        <w:tblLayout w:type="autofit"/>
        <w:tblCellMar>
          <w:top w:w="0" w:type="dxa"/>
          <w:left w:w="108" w:type="dxa"/>
          <w:bottom w:w="0" w:type="dxa"/>
          <w:right w:w="108" w:type="dxa"/>
        </w:tblCellMar>
      </w:tblPr>
      <w:tblGrid>
        <w:gridCol w:w="1139"/>
        <w:gridCol w:w="1139"/>
        <w:gridCol w:w="3964"/>
        <w:gridCol w:w="2849"/>
      </w:tblGrid>
      <w:tr>
        <w:tblPrEx>
          <w:tblCellMar>
            <w:top w:w="0" w:type="dxa"/>
            <w:left w:w="108" w:type="dxa"/>
            <w:bottom w:w="0" w:type="dxa"/>
            <w:right w:w="108" w:type="dxa"/>
          </w:tblCellMar>
        </w:tblPrEx>
        <w:trPr>
          <w:trHeight w:val="258" w:hRule="atLeast"/>
        </w:trPr>
        <w:tc>
          <w:tcPr>
            <w:tcW w:w="113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层次</w:t>
            </w:r>
          </w:p>
        </w:tc>
        <w:tc>
          <w:tcPr>
            <w:tcW w:w="1139" w:type="dxa"/>
            <w:tcBorders>
              <w:top w:val="single" w:color="auto" w:sz="4" w:space="0"/>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合计</w:t>
            </w:r>
          </w:p>
        </w:tc>
        <w:tc>
          <w:tcPr>
            <w:tcW w:w="3964" w:type="dxa"/>
            <w:tcBorders>
              <w:top w:val="single" w:color="auto" w:sz="4" w:space="0"/>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hint="eastAsia" w:ascii="Arial" w:hAnsi="Arial" w:cs="宋体"/>
                <w:kern w:val="0"/>
                <w:sz w:val="20"/>
                <w:szCs w:val="20"/>
              </w:rPr>
              <w:t>专业</w:t>
            </w:r>
          </w:p>
        </w:tc>
        <w:tc>
          <w:tcPr>
            <w:tcW w:w="2849" w:type="dxa"/>
            <w:tcBorders>
              <w:top w:val="single" w:color="auto" w:sz="4" w:space="0"/>
              <w:left w:val="nil"/>
              <w:bottom w:val="single" w:color="auto" w:sz="4" w:space="0"/>
              <w:right w:val="single" w:color="auto" w:sz="4" w:space="0"/>
            </w:tcBorders>
            <w:noWrap/>
            <w:vAlign w:val="center"/>
          </w:tcPr>
          <w:p>
            <w:pPr>
              <w:widowControl/>
              <w:jc w:val="center"/>
              <w:rPr>
                <w:rFonts w:ascii="Arial" w:hAnsi="Arial" w:cs="Arial"/>
                <w:kern w:val="0"/>
                <w:sz w:val="20"/>
                <w:szCs w:val="20"/>
              </w:rPr>
            </w:pPr>
            <w:r>
              <w:rPr>
                <w:rFonts w:hint="eastAsia" w:ascii="Arial" w:hAnsi="Arial" w:cs="宋体"/>
                <w:kern w:val="0"/>
                <w:sz w:val="20"/>
                <w:szCs w:val="20"/>
              </w:rPr>
              <w:t>毕业学生数</w:t>
            </w:r>
          </w:p>
        </w:tc>
      </w:tr>
      <w:tr>
        <w:tblPrEx>
          <w:tblCellMar>
            <w:top w:w="0" w:type="dxa"/>
            <w:left w:w="108" w:type="dxa"/>
            <w:bottom w:w="0" w:type="dxa"/>
            <w:right w:w="108" w:type="dxa"/>
          </w:tblCellMar>
        </w:tblPrEx>
        <w:trPr>
          <w:trHeight w:val="258" w:hRule="atLeast"/>
        </w:trPr>
        <w:tc>
          <w:tcPr>
            <w:tcW w:w="1139" w:type="dxa"/>
            <w:vMerge w:val="restart"/>
            <w:tcBorders>
              <w:top w:val="nil"/>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高起专</w:t>
            </w:r>
          </w:p>
        </w:tc>
        <w:tc>
          <w:tcPr>
            <w:tcW w:w="1139" w:type="dxa"/>
            <w:vMerge w:val="restart"/>
            <w:tcBorders>
              <w:top w:val="nil"/>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工商企业管理</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3</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计算机应用技术</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金融学</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w:t>
            </w:r>
          </w:p>
        </w:tc>
      </w:tr>
      <w:tr>
        <w:tblPrEx>
          <w:tblCellMar>
            <w:top w:w="0" w:type="dxa"/>
            <w:left w:w="108" w:type="dxa"/>
            <w:bottom w:w="0" w:type="dxa"/>
            <w:right w:w="108" w:type="dxa"/>
          </w:tblCellMar>
        </w:tblPrEx>
        <w:trPr>
          <w:trHeight w:val="258" w:hRule="atLeast"/>
        </w:trPr>
        <w:tc>
          <w:tcPr>
            <w:tcW w:w="1139" w:type="dxa"/>
            <w:vMerge w:val="restart"/>
            <w:tcBorders>
              <w:top w:val="nil"/>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专升本</w:t>
            </w:r>
          </w:p>
        </w:tc>
        <w:tc>
          <w:tcPr>
            <w:tcW w:w="1139" w:type="dxa"/>
            <w:vMerge w:val="restart"/>
            <w:tcBorders>
              <w:top w:val="nil"/>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684</w:t>
            </w: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船舶与海洋工程</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8</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机械设计制造及其自动化</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9</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工商管理</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100</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轮机工程</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4</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能源与动力工程</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9</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电气工程及其自动化</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34</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土木工程</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420</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给排水科学与工程</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55</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建筑环境与能源应用工程</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36</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法学</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9</w:t>
            </w:r>
          </w:p>
        </w:tc>
      </w:tr>
      <w:tr>
        <w:tblPrEx>
          <w:tblCellMar>
            <w:top w:w="0" w:type="dxa"/>
            <w:left w:w="108" w:type="dxa"/>
            <w:bottom w:w="0" w:type="dxa"/>
            <w:right w:w="108" w:type="dxa"/>
          </w:tblCellMar>
        </w:tblPrEx>
        <w:trPr>
          <w:trHeight w:val="258" w:hRule="atLeast"/>
        </w:trPr>
        <w:tc>
          <w:tcPr>
            <w:tcW w:w="1139" w:type="dxa"/>
            <w:vMerge w:val="restart"/>
            <w:tcBorders>
              <w:top w:val="nil"/>
              <w:left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高起本</w:t>
            </w:r>
          </w:p>
        </w:tc>
        <w:tc>
          <w:tcPr>
            <w:tcW w:w="1139" w:type="dxa"/>
            <w:vMerge w:val="restart"/>
            <w:tcBorders>
              <w:top w:val="nil"/>
              <w:left w:val="nil"/>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16</w:t>
            </w: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工商管理</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4</w:t>
            </w:r>
          </w:p>
        </w:tc>
      </w:tr>
      <w:tr>
        <w:tblPrEx>
          <w:tblCellMar>
            <w:top w:w="0" w:type="dxa"/>
            <w:left w:w="108" w:type="dxa"/>
            <w:bottom w:w="0" w:type="dxa"/>
            <w:right w:w="108" w:type="dxa"/>
          </w:tblCellMar>
        </w:tblPrEx>
        <w:trPr>
          <w:trHeight w:val="258" w:hRule="atLeast"/>
        </w:trPr>
        <w:tc>
          <w:tcPr>
            <w:tcW w:w="1139" w:type="dxa"/>
            <w:vMerge w:val="continue"/>
            <w:tcBorders>
              <w:left w:val="single" w:color="auto" w:sz="4" w:space="0"/>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1139" w:type="dxa"/>
            <w:vMerge w:val="continue"/>
            <w:tcBorders>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土木工程</w:t>
            </w: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CellMar>
            <w:top w:w="0" w:type="dxa"/>
            <w:left w:w="108" w:type="dxa"/>
            <w:bottom w:w="0" w:type="dxa"/>
            <w:right w:w="108" w:type="dxa"/>
          </w:tblCellMar>
        </w:tblPrEx>
        <w:trPr>
          <w:trHeight w:val="258" w:hRule="atLeast"/>
        </w:trPr>
        <w:tc>
          <w:tcPr>
            <w:tcW w:w="1139" w:type="dxa"/>
            <w:tcBorders>
              <w:top w:val="nil"/>
              <w:left w:val="single" w:color="auto" w:sz="4" w:space="0"/>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hint="eastAsia" w:ascii="Times New Roman" w:hAnsi="Times New Roman" w:eastAsia="仿宋_GB2312" w:cs="仿宋_GB2312"/>
                <w:kern w:val="0"/>
              </w:rPr>
              <w:t>总计</w:t>
            </w:r>
          </w:p>
        </w:tc>
        <w:tc>
          <w:tcPr>
            <w:tcW w:w="113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706</w:t>
            </w:r>
          </w:p>
        </w:tc>
        <w:tc>
          <w:tcPr>
            <w:tcW w:w="3964"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p>
        </w:tc>
        <w:tc>
          <w:tcPr>
            <w:tcW w:w="2849" w:type="dxa"/>
            <w:tcBorders>
              <w:top w:val="nil"/>
              <w:left w:val="nil"/>
              <w:bottom w:val="single" w:color="auto" w:sz="4" w:space="0"/>
              <w:right w:val="single" w:color="auto" w:sz="4" w:space="0"/>
            </w:tcBorders>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706</w:t>
            </w:r>
          </w:p>
        </w:tc>
      </w:tr>
    </w:tbl>
    <w:p>
      <w:pPr>
        <w:spacing w:line="520" w:lineRule="exact"/>
        <w:ind w:firstLine="602" w:firstLineChars="200"/>
        <w:rPr>
          <w:rFonts w:ascii="Times New Roman" w:hAnsi="Times New Roman" w:eastAsia="仿宋_GB2312" w:cs="Times New Roman"/>
          <w:b/>
          <w:kern w:val="0"/>
          <w:sz w:val="30"/>
          <w:szCs w:val="30"/>
        </w:rPr>
      </w:pPr>
    </w:p>
    <w:p>
      <w:pPr>
        <w:pStyle w:val="35"/>
        <w:ind w:firstLine="643" w:firstLineChars="200"/>
        <w:rPr>
          <w:rFonts w:ascii="Times New Roman" w:hAnsi="Times New Roman" w:eastAsia="楷体_GB2312" w:cs="Times New Roman"/>
          <w:kern w:val="2"/>
        </w:rPr>
      </w:pPr>
      <w:r>
        <w:rPr>
          <w:rFonts w:ascii="Times New Roman" w:hAnsi="Times New Roman" w:eastAsia="楷体_GB2312" w:cs="Times New Roman"/>
          <w:kern w:val="2"/>
        </w:rPr>
        <w:t>（二）非学历继续教育情况</w:t>
      </w:r>
    </w:p>
    <w:p>
      <w:pPr>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1.总体规模</w:t>
      </w:r>
    </w:p>
    <w:p>
      <w:pPr>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哈尔滨工程大学非学历继续教育开办全日制职业教育培训、出国留学培训、短期培训等多种办学形式。其中，职业教育包括：航空服务、航空机电设备维修、虚拟化技术、软件工程、互联网金融等专业；出国留学培训包括：</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英澳2+2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本科、日本本科预科；短期培训主要为企事业单位定制专题培训班以及证书考试培训。</w:t>
      </w:r>
    </w:p>
    <w:p>
      <w:pPr>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办学过程中始终坚持培训面向国际化，发展多种形式的继续教育国际合作交流</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提升继续教育办学层次。充分发挥学校教育资源优势，配合企业</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走出去</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开展继续教育培训。积极推进以行业岗位需求为人才培养目标的非学历教育培训项目。具体情况如</w:t>
      </w:r>
      <w:r>
        <w:rPr>
          <w:rFonts w:hint="eastAsia" w:ascii="Times New Roman" w:hAnsi="Times New Roman" w:eastAsia="仿宋_GB2312" w:cs="Times New Roman"/>
          <w:kern w:val="0"/>
          <w:sz w:val="32"/>
          <w:szCs w:val="32"/>
        </w:rPr>
        <w:t>表4、表5所示</w:t>
      </w:r>
      <w:r>
        <w:rPr>
          <w:rFonts w:ascii="Times New Roman" w:hAnsi="Times New Roman" w:eastAsia="仿宋_GB2312" w:cs="Times New Roman"/>
          <w:kern w:val="0"/>
          <w:sz w:val="32"/>
          <w:szCs w:val="32"/>
        </w:rPr>
        <w:t>：</w:t>
      </w:r>
    </w:p>
    <w:p>
      <w:pPr>
        <w:snapToGrid w:val="0"/>
        <w:spacing w:line="600" w:lineRule="exact"/>
        <w:jc w:val="center"/>
        <w:rPr>
          <w:rFonts w:ascii="Times New Roman" w:hAnsi="Times New Roman" w:eastAsia="楷体" w:cs="Times New Roman"/>
          <w:kern w:val="0"/>
          <w:sz w:val="30"/>
          <w:szCs w:val="30"/>
        </w:rPr>
      </w:pPr>
      <w:r>
        <w:rPr>
          <w:rFonts w:ascii="Times New Roman" w:hAnsi="楷体" w:eastAsia="楷体" w:cs="Times New Roman"/>
          <w:kern w:val="0"/>
          <w:sz w:val="30"/>
          <w:szCs w:val="30"/>
        </w:rPr>
        <w:t>表</w:t>
      </w:r>
      <w:r>
        <w:rPr>
          <w:rFonts w:hint="eastAsia" w:ascii="Times New Roman" w:hAnsi="Times New Roman" w:eastAsia="楷体" w:cs="Times New Roman"/>
          <w:kern w:val="0"/>
          <w:sz w:val="30"/>
          <w:szCs w:val="30"/>
        </w:rPr>
        <w:t>4</w:t>
      </w:r>
      <w:r>
        <w:rPr>
          <w:rFonts w:ascii="Times New Roman" w:hAnsi="Times New Roman" w:eastAsia="楷体" w:cs="Times New Roman"/>
          <w:kern w:val="0"/>
          <w:sz w:val="30"/>
          <w:szCs w:val="30"/>
        </w:rPr>
        <w:t xml:space="preserve">    在校</w:t>
      </w:r>
      <w:r>
        <w:rPr>
          <w:rFonts w:ascii="Times New Roman" w:hAnsi="楷体" w:eastAsia="楷体" w:cs="Times New Roman"/>
          <w:kern w:val="0"/>
          <w:sz w:val="30"/>
          <w:szCs w:val="30"/>
        </w:rPr>
        <w:t>职业培训人数统计表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978"/>
        <w:gridCol w:w="2835"/>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shd w:val="clear" w:color="auto" w:fill="auto"/>
            <w:noWrap/>
            <w:vAlign w:val="center"/>
          </w:tcPr>
          <w:p>
            <w:pPr>
              <w:widowControl/>
              <w:snapToGrid w:val="0"/>
              <w:spacing w:line="380" w:lineRule="exact"/>
              <w:jc w:val="center"/>
              <w:rPr>
                <w:rFonts w:ascii="Times New Roman" w:hAnsi="Times New Roman" w:eastAsia="仿宋_GB2312" w:cs="Times New Roman"/>
                <w:b/>
                <w:bCs/>
                <w:kern w:val="0"/>
              </w:rPr>
            </w:pPr>
            <w:r>
              <w:rPr>
                <w:rFonts w:ascii="Times New Roman" w:hAnsi="Times New Roman" w:eastAsia="仿宋_GB2312" w:cs="Times New Roman"/>
                <w:b/>
                <w:bCs/>
                <w:kern w:val="0"/>
              </w:rPr>
              <w:t>序号</w:t>
            </w:r>
          </w:p>
        </w:tc>
        <w:tc>
          <w:tcPr>
            <w:tcW w:w="1614" w:type="pct"/>
            <w:shd w:val="clear" w:color="auto" w:fill="auto"/>
            <w:noWrap/>
            <w:vAlign w:val="center"/>
          </w:tcPr>
          <w:p>
            <w:pPr>
              <w:widowControl/>
              <w:snapToGrid w:val="0"/>
              <w:spacing w:line="380" w:lineRule="exact"/>
              <w:jc w:val="center"/>
              <w:rPr>
                <w:rFonts w:ascii="Times New Roman" w:hAnsi="Times New Roman" w:eastAsia="仿宋_GB2312" w:cs="Times New Roman"/>
                <w:b/>
                <w:bCs/>
                <w:kern w:val="0"/>
              </w:rPr>
            </w:pPr>
            <w:r>
              <w:rPr>
                <w:rFonts w:ascii="Times New Roman" w:hAnsi="Times New Roman" w:eastAsia="仿宋_GB2312" w:cs="Times New Roman"/>
                <w:b/>
                <w:bCs/>
                <w:kern w:val="0"/>
              </w:rPr>
              <w:t>专业</w:t>
            </w:r>
          </w:p>
        </w:tc>
        <w:tc>
          <w:tcPr>
            <w:tcW w:w="1537" w:type="pct"/>
            <w:shd w:val="clear" w:color="auto" w:fill="auto"/>
            <w:noWrap/>
            <w:vAlign w:val="center"/>
          </w:tcPr>
          <w:p>
            <w:pPr>
              <w:widowControl/>
              <w:snapToGrid w:val="0"/>
              <w:spacing w:line="380" w:lineRule="exact"/>
              <w:jc w:val="center"/>
              <w:rPr>
                <w:rFonts w:ascii="Times New Roman" w:hAnsi="Times New Roman" w:eastAsia="仿宋_GB2312" w:cs="Times New Roman"/>
                <w:b/>
                <w:bCs/>
                <w:kern w:val="0"/>
              </w:rPr>
            </w:pPr>
            <w:r>
              <w:rPr>
                <w:rFonts w:ascii="Times New Roman" w:hAnsi="Times New Roman" w:eastAsia="仿宋_GB2312" w:cs="Times New Roman"/>
                <w:b/>
                <w:bCs/>
                <w:kern w:val="0"/>
              </w:rPr>
              <w:t>入学时间</w:t>
            </w:r>
          </w:p>
        </w:tc>
        <w:tc>
          <w:tcPr>
            <w:tcW w:w="1407" w:type="pct"/>
            <w:shd w:val="clear" w:color="auto" w:fill="auto"/>
            <w:noWrap/>
            <w:vAlign w:val="center"/>
          </w:tcPr>
          <w:p>
            <w:pPr>
              <w:widowControl/>
              <w:snapToGrid w:val="0"/>
              <w:spacing w:line="380" w:lineRule="exact"/>
              <w:jc w:val="center"/>
              <w:rPr>
                <w:rFonts w:ascii="Times New Roman" w:hAnsi="Times New Roman" w:eastAsia="仿宋_GB2312" w:cs="Times New Roman"/>
                <w:b/>
                <w:bCs/>
                <w:kern w:val="0"/>
              </w:rPr>
            </w:pPr>
            <w:r>
              <w:rPr>
                <w:rFonts w:ascii="Times New Roman" w:hAnsi="Times New Roman" w:eastAsia="仿宋_GB2312" w:cs="Times New Roman"/>
                <w:b/>
                <w:bCs/>
                <w:kern w:val="0"/>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614"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航空服务与管理</w:t>
            </w:r>
          </w:p>
        </w:tc>
        <w:tc>
          <w:tcPr>
            <w:tcW w:w="153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2018年3月</w:t>
            </w:r>
          </w:p>
        </w:tc>
        <w:tc>
          <w:tcPr>
            <w:tcW w:w="140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vAlign w:val="center"/>
          </w:tcPr>
          <w:p>
            <w:pPr>
              <w:widowControl/>
              <w:snapToGrid w:val="0"/>
              <w:spacing w:line="380" w:lineRule="exact"/>
              <w:jc w:val="center"/>
              <w:rPr>
                <w:rFonts w:ascii="Times New Roman" w:hAnsi="Times New Roman" w:eastAsia="仿宋_GB2312" w:cs="Times New Roman"/>
                <w:kern w:val="0"/>
              </w:rPr>
            </w:pPr>
          </w:p>
        </w:tc>
        <w:tc>
          <w:tcPr>
            <w:tcW w:w="1614" w:type="pct"/>
            <w:vMerge w:val="continue"/>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vAlign w:val="center"/>
          </w:tcPr>
          <w:p>
            <w:pPr>
              <w:widowControl/>
              <w:snapToGrid w:val="0"/>
              <w:spacing w:line="380" w:lineRule="exact"/>
              <w:jc w:val="center"/>
              <w:rPr>
                <w:rFonts w:ascii="Times New Roman" w:hAnsi="Times New Roman" w:eastAsia="仿宋_GB2312" w:cs="Times New Roman"/>
                <w:kern w:val="0"/>
              </w:rPr>
            </w:pPr>
          </w:p>
        </w:tc>
        <w:tc>
          <w:tcPr>
            <w:tcW w:w="1614" w:type="pct"/>
            <w:vMerge w:val="continue"/>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2019年3月</w:t>
            </w:r>
          </w:p>
        </w:tc>
        <w:tc>
          <w:tcPr>
            <w:tcW w:w="140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vAlign w:val="center"/>
          </w:tcPr>
          <w:p>
            <w:pPr>
              <w:widowControl/>
              <w:snapToGrid w:val="0"/>
              <w:spacing w:line="380" w:lineRule="exact"/>
              <w:jc w:val="center"/>
              <w:rPr>
                <w:rFonts w:ascii="Times New Roman" w:hAnsi="Times New Roman" w:eastAsia="仿宋_GB2312" w:cs="Times New Roman"/>
                <w:kern w:val="0"/>
              </w:rPr>
            </w:pPr>
          </w:p>
        </w:tc>
        <w:tc>
          <w:tcPr>
            <w:tcW w:w="1614" w:type="pct"/>
            <w:vMerge w:val="continue"/>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614"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航空机电设备维修</w:t>
            </w:r>
          </w:p>
        </w:tc>
        <w:tc>
          <w:tcPr>
            <w:tcW w:w="153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vAlign w:val="center"/>
          </w:tcPr>
          <w:p>
            <w:pPr>
              <w:widowControl/>
              <w:snapToGrid w:val="0"/>
              <w:spacing w:line="380" w:lineRule="exact"/>
              <w:jc w:val="center"/>
              <w:rPr>
                <w:rFonts w:ascii="Times New Roman" w:hAnsi="Times New Roman" w:eastAsia="仿宋_GB2312" w:cs="Times New Roman"/>
                <w:kern w:val="0"/>
              </w:rPr>
            </w:pPr>
          </w:p>
        </w:tc>
        <w:tc>
          <w:tcPr>
            <w:tcW w:w="1614" w:type="pct"/>
            <w:vMerge w:val="continue"/>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614"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虚拟化工程师</w:t>
            </w:r>
          </w:p>
        </w:tc>
        <w:tc>
          <w:tcPr>
            <w:tcW w:w="153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p>
        </w:tc>
        <w:tc>
          <w:tcPr>
            <w:tcW w:w="1614" w:type="pct"/>
            <w:vMerge w:val="continue"/>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楷体" w:cs="Times New Roman"/>
                <w:kern w:val="0"/>
              </w:rPr>
              <w:t>2019年3月</w:t>
            </w:r>
          </w:p>
        </w:tc>
        <w:tc>
          <w:tcPr>
            <w:tcW w:w="1407"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hint="eastAsia" w:ascii="Times New Roman" w:hAnsi="Times New Roman" w:eastAsia="仿宋_GB2312" w:cs="Times New Roman"/>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vAlign w:val="center"/>
          </w:tcPr>
          <w:p>
            <w:pPr>
              <w:widowControl/>
              <w:snapToGrid w:val="0"/>
              <w:spacing w:line="380" w:lineRule="exact"/>
              <w:jc w:val="center"/>
              <w:rPr>
                <w:rFonts w:ascii="Times New Roman" w:hAnsi="Times New Roman" w:eastAsia="楷体"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4</w:t>
            </w:r>
          </w:p>
        </w:tc>
        <w:tc>
          <w:tcPr>
            <w:tcW w:w="1614"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互联网金融</w:t>
            </w: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2019年3月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hint="eastAsia" w:ascii="Times New Roman" w:hAnsi="Times New Roman" w:eastAsia="楷体" w:cs="Times New Roman"/>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5</w:t>
            </w:r>
          </w:p>
        </w:tc>
        <w:tc>
          <w:tcPr>
            <w:tcW w:w="1614" w:type="pct"/>
            <w:vMerge w:val="restart"/>
            <w:shd w:val="clear" w:color="auto" w:fill="auto"/>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软件工程</w:t>
            </w: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2018年3月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shd w:val="clear" w:color="auto" w:fill="auto"/>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2019年3月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hint="eastAsia" w:ascii="Times New Roman" w:hAnsi="Times New Roman" w:eastAsia="楷体" w:cs="Times New Roman"/>
                <w:kern w:val="0"/>
              </w:rPr>
              <w:t>3</w:t>
            </w:r>
            <w:r>
              <w:rPr>
                <w:rFonts w:ascii="Times New Roman" w:hAnsi="Times New Roman" w:eastAsia="楷体" w:cs="Times New Roman"/>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vAlign w:val="center"/>
          </w:tcPr>
          <w:p>
            <w:pPr>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6</w:t>
            </w:r>
          </w:p>
        </w:tc>
        <w:tc>
          <w:tcPr>
            <w:tcW w:w="1614" w:type="pct"/>
            <w:vMerge w:val="restart"/>
            <w:vAlign w:val="center"/>
          </w:tcPr>
          <w:p>
            <w:pPr>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设计应用</w:t>
            </w: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2018年3月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hint="eastAsia" w:ascii="Times New Roman" w:hAnsi="Times New Roman" w:eastAsia="楷体" w:cs="Times New Roman"/>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shd w:val="clear" w:color="auto" w:fill="auto"/>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shd w:val="clear" w:color="auto" w:fill="auto"/>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2019年3月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hint="eastAsia" w:ascii="Times New Roman" w:hAnsi="Times New Roman" w:eastAsia="楷体" w:cs="Times New Roman"/>
                <w:kern w:val="0"/>
              </w:rPr>
              <w:t>1</w:t>
            </w:r>
            <w:r>
              <w:rPr>
                <w:rFonts w:ascii="Times New Roman" w:hAnsi="Times New Roman" w:eastAsia="楷体" w:cs="Times New Roman"/>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7</w:t>
            </w:r>
          </w:p>
        </w:tc>
        <w:tc>
          <w:tcPr>
            <w:tcW w:w="1614"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动画设计、数字媒体</w:t>
            </w: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hint="eastAsia" w:ascii="Times New Roman" w:hAnsi="Times New Roman" w:eastAsia="楷体" w:cs="Times New Roman"/>
                <w:kern w:val="0"/>
              </w:rPr>
              <w:t>6</w:t>
            </w:r>
            <w:r>
              <w:rPr>
                <w:rFonts w:ascii="Times New Roman" w:hAnsi="Times New Roman" w:eastAsia="楷体" w:cs="Times New Roman"/>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8</w:t>
            </w:r>
          </w:p>
        </w:tc>
        <w:tc>
          <w:tcPr>
            <w:tcW w:w="1614"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国际经济与贸易</w:t>
            </w: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hint="eastAsia" w:ascii="Times New Roman" w:hAnsi="Times New Roman" w:eastAsia="楷体" w:cs="Times New Roman"/>
                <w:kern w:val="0"/>
              </w:rPr>
              <w:t>1</w:t>
            </w:r>
            <w:r>
              <w:rPr>
                <w:rFonts w:ascii="Times New Roman" w:hAnsi="Times New Roman" w:eastAsia="楷体" w:cs="Times New Roman"/>
                <w:kern w:val="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9</w:t>
            </w:r>
          </w:p>
        </w:tc>
        <w:tc>
          <w:tcPr>
            <w:tcW w:w="1614"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hint="eastAsia" w:ascii="Times New Roman" w:hAnsi="Times New Roman" w:eastAsia="仿宋_GB2312" w:cs="Times New Roman"/>
                <w:kern w:val="0"/>
              </w:rPr>
              <w:t>计算机信息技术</w:t>
            </w: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hint="eastAsia" w:ascii="Times New Roman" w:hAnsi="Times New Roman" w:eastAsia="楷体" w:cs="Times New Roman"/>
                <w:kern w:val="0"/>
              </w:rPr>
              <w:t>6</w:t>
            </w:r>
            <w:r>
              <w:rPr>
                <w:rFonts w:ascii="Times New Roman" w:hAnsi="Times New Roman" w:eastAsia="楷体"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10</w:t>
            </w:r>
          </w:p>
        </w:tc>
        <w:tc>
          <w:tcPr>
            <w:tcW w:w="1614"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土木工程</w:t>
            </w: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hint="eastAsia" w:ascii="Times New Roman" w:hAnsi="Times New Roman" w:eastAsia="楷体" w:cs="Times New Roman"/>
                <w:kern w:val="0"/>
              </w:rPr>
              <w:t>3</w:t>
            </w:r>
            <w:r>
              <w:rPr>
                <w:rFonts w:ascii="Times New Roman" w:hAnsi="Times New Roman" w:eastAsia="楷体" w:cs="Times New Roman"/>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11</w:t>
            </w:r>
          </w:p>
        </w:tc>
        <w:tc>
          <w:tcPr>
            <w:tcW w:w="1614"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文学写作</w:t>
            </w: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hint="eastAsia" w:ascii="Times New Roman" w:hAnsi="Times New Roman" w:eastAsia="楷体" w:cs="Times New Roman"/>
                <w:kern w:val="0"/>
              </w:rPr>
              <w:t>4</w:t>
            </w:r>
            <w:r>
              <w:rPr>
                <w:rFonts w:ascii="Times New Roman" w:hAnsi="Times New Roman" w:eastAsia="楷体"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12</w:t>
            </w:r>
          </w:p>
        </w:tc>
        <w:tc>
          <w:tcPr>
            <w:tcW w:w="1614"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人工智能技术与应用</w:t>
            </w: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13</w:t>
            </w:r>
          </w:p>
        </w:tc>
        <w:tc>
          <w:tcPr>
            <w:tcW w:w="1614" w:type="pct"/>
            <w:vMerge w:val="restar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hint="eastAsia" w:ascii="Times New Roman" w:hAnsi="Times New Roman" w:eastAsia="仿宋_GB2312" w:cs="Times New Roman"/>
                <w:kern w:val="0"/>
              </w:rPr>
              <w:t>财务管理等</w:t>
            </w: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2018年9月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楷体" w:cs="Times New Roman"/>
                <w:kern w:val="0"/>
              </w:rPr>
            </w:pPr>
          </w:p>
        </w:tc>
        <w:tc>
          <w:tcPr>
            <w:tcW w:w="1614" w:type="pct"/>
            <w:vMerge w:val="continue"/>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hint="eastAsia" w:ascii="Times New Roman" w:hAnsi="Times New Roman" w:eastAsia="楷体" w:cs="Times New Roman"/>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napToGrid w:val="0"/>
              <w:spacing w:line="380" w:lineRule="exact"/>
              <w:jc w:val="center"/>
              <w:rPr>
                <w:rFonts w:ascii="Times New Roman" w:hAnsi="Times New Roman" w:eastAsia="楷体" w:cs="Times New Roman"/>
                <w:kern w:val="0"/>
              </w:rPr>
            </w:pPr>
          </w:p>
        </w:tc>
        <w:tc>
          <w:tcPr>
            <w:tcW w:w="1614" w:type="pct"/>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跨境电商</w:t>
            </w:r>
            <w:r>
              <w:rPr>
                <w:rFonts w:hint="eastAsia" w:ascii="Times New Roman" w:hAnsi="Times New Roman" w:eastAsia="仿宋_GB2312" w:cs="Times New Roman"/>
                <w:kern w:val="0"/>
              </w:rPr>
              <w:t>等</w:t>
            </w:r>
          </w:p>
        </w:tc>
        <w:tc>
          <w:tcPr>
            <w:tcW w:w="153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2019年9月</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hint="eastAsia" w:ascii="Times New Roman" w:hAnsi="Times New Roman" w:eastAsia="楷体" w:cs="Times New Roman"/>
                <w:kern w:val="0"/>
              </w:rPr>
              <w:t>2</w:t>
            </w:r>
            <w:r>
              <w:rPr>
                <w:rFonts w:ascii="Times New Roman" w:hAnsi="Times New Roman" w:eastAsia="楷体" w:cs="Times New Roman"/>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593" w:type="pct"/>
            <w:gridSpan w:val="3"/>
            <w:shd w:val="clear" w:color="auto" w:fill="auto"/>
            <w:noWrap/>
            <w:vAlign w:val="center"/>
          </w:tcPr>
          <w:p>
            <w:pPr>
              <w:widowControl/>
              <w:snapToGrid w:val="0"/>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总计</w:t>
            </w:r>
          </w:p>
        </w:tc>
        <w:tc>
          <w:tcPr>
            <w:tcW w:w="1407" w:type="pct"/>
            <w:shd w:val="clear" w:color="auto" w:fill="auto"/>
            <w:noWrap/>
            <w:vAlign w:val="center"/>
          </w:tcPr>
          <w:p>
            <w:pPr>
              <w:widowControl/>
              <w:snapToGrid w:val="0"/>
              <w:spacing w:line="380" w:lineRule="exact"/>
              <w:jc w:val="center"/>
              <w:rPr>
                <w:rFonts w:ascii="Times New Roman" w:hAnsi="Times New Roman" w:eastAsia="楷体" w:cs="Times New Roman"/>
                <w:kern w:val="0"/>
              </w:rPr>
            </w:pPr>
            <w:r>
              <w:rPr>
                <w:rFonts w:ascii="Times New Roman" w:hAnsi="Times New Roman" w:eastAsia="楷体" w:cs="Times New Roman"/>
                <w:kern w:val="0"/>
              </w:rPr>
              <w:t>1073</w:t>
            </w:r>
          </w:p>
        </w:tc>
      </w:tr>
    </w:tbl>
    <w:p>
      <w:pPr>
        <w:spacing w:line="600" w:lineRule="exact"/>
        <w:jc w:val="center"/>
        <w:rPr>
          <w:rFonts w:ascii="Times New Roman" w:hAnsi="Times New Roman" w:eastAsia="楷体" w:cs="Times New Roman"/>
          <w:kern w:val="0"/>
          <w:sz w:val="30"/>
          <w:szCs w:val="30"/>
        </w:rPr>
      </w:pPr>
      <w:r>
        <w:rPr>
          <w:rFonts w:ascii="Times New Roman" w:hAnsi="Times New Roman" w:eastAsia="楷体" w:cs="Times New Roman"/>
          <w:kern w:val="0"/>
          <w:sz w:val="30"/>
          <w:szCs w:val="30"/>
        </w:rPr>
        <w:t>表</w:t>
      </w:r>
      <w:r>
        <w:rPr>
          <w:rFonts w:hint="eastAsia" w:ascii="Times New Roman" w:hAnsi="Times New Roman" w:eastAsia="楷体" w:cs="Times New Roman"/>
          <w:kern w:val="0"/>
          <w:sz w:val="30"/>
          <w:szCs w:val="30"/>
        </w:rPr>
        <w:t>5</w:t>
      </w:r>
      <w:r>
        <w:rPr>
          <w:rFonts w:ascii="Times New Roman" w:hAnsi="Times New Roman" w:eastAsia="楷体" w:cs="Times New Roman"/>
          <w:kern w:val="0"/>
          <w:sz w:val="30"/>
          <w:szCs w:val="30"/>
        </w:rPr>
        <w:t xml:space="preserve">    在校出国留学培训人数统计表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978"/>
        <w:gridCol w:w="2835"/>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shd w:val="clear" w:color="auto" w:fill="auto"/>
            <w:noWrap/>
            <w:vAlign w:val="center"/>
          </w:tcPr>
          <w:p>
            <w:pPr>
              <w:widowControl/>
              <w:spacing w:line="380" w:lineRule="exact"/>
              <w:jc w:val="center"/>
              <w:rPr>
                <w:rFonts w:ascii="Times New Roman" w:hAnsi="Times New Roman" w:eastAsia="仿宋_GB2312" w:cs="Times New Roman"/>
                <w:b/>
                <w:bCs/>
                <w:kern w:val="0"/>
              </w:rPr>
            </w:pPr>
            <w:r>
              <w:rPr>
                <w:rFonts w:ascii="Times New Roman" w:hAnsi="Times New Roman" w:eastAsia="仿宋_GB2312" w:cs="Times New Roman"/>
                <w:b/>
                <w:bCs/>
                <w:kern w:val="0"/>
              </w:rPr>
              <w:t>序号</w:t>
            </w:r>
          </w:p>
        </w:tc>
        <w:tc>
          <w:tcPr>
            <w:tcW w:w="1614" w:type="pct"/>
            <w:shd w:val="clear" w:color="auto" w:fill="auto"/>
            <w:noWrap/>
            <w:vAlign w:val="center"/>
          </w:tcPr>
          <w:p>
            <w:pPr>
              <w:widowControl/>
              <w:spacing w:line="380" w:lineRule="exact"/>
              <w:jc w:val="center"/>
              <w:rPr>
                <w:rFonts w:ascii="Times New Roman" w:hAnsi="Times New Roman" w:eastAsia="仿宋_GB2312" w:cs="Times New Roman"/>
                <w:b/>
                <w:bCs/>
                <w:kern w:val="0"/>
              </w:rPr>
            </w:pPr>
            <w:r>
              <w:rPr>
                <w:rFonts w:ascii="Times New Roman" w:hAnsi="Times New Roman" w:eastAsia="仿宋_GB2312" w:cs="Times New Roman"/>
                <w:b/>
                <w:bCs/>
                <w:kern w:val="0"/>
              </w:rPr>
              <w:t>专业</w:t>
            </w:r>
          </w:p>
        </w:tc>
        <w:tc>
          <w:tcPr>
            <w:tcW w:w="1537" w:type="pct"/>
            <w:shd w:val="clear" w:color="auto" w:fill="auto"/>
            <w:noWrap/>
            <w:vAlign w:val="center"/>
          </w:tcPr>
          <w:p>
            <w:pPr>
              <w:widowControl/>
              <w:spacing w:line="380" w:lineRule="exact"/>
              <w:jc w:val="center"/>
              <w:rPr>
                <w:rFonts w:ascii="Times New Roman" w:hAnsi="Times New Roman" w:eastAsia="仿宋_GB2312" w:cs="Times New Roman"/>
                <w:b/>
                <w:bCs/>
                <w:kern w:val="0"/>
              </w:rPr>
            </w:pPr>
            <w:r>
              <w:rPr>
                <w:rFonts w:ascii="Times New Roman" w:hAnsi="Times New Roman" w:eastAsia="仿宋_GB2312" w:cs="Times New Roman"/>
                <w:b/>
                <w:bCs/>
                <w:kern w:val="0"/>
              </w:rPr>
              <w:t>入学时间</w:t>
            </w:r>
          </w:p>
        </w:tc>
        <w:tc>
          <w:tcPr>
            <w:tcW w:w="1407" w:type="pct"/>
            <w:shd w:val="clear" w:color="auto" w:fill="auto"/>
            <w:noWrap/>
            <w:vAlign w:val="center"/>
          </w:tcPr>
          <w:p>
            <w:pPr>
              <w:widowControl/>
              <w:spacing w:line="380" w:lineRule="exact"/>
              <w:jc w:val="center"/>
              <w:rPr>
                <w:rFonts w:ascii="Times New Roman" w:hAnsi="Times New Roman" w:eastAsia="仿宋_GB2312" w:cs="Times New Roman"/>
                <w:b/>
                <w:bCs/>
                <w:kern w:val="0"/>
              </w:rPr>
            </w:pPr>
            <w:r>
              <w:rPr>
                <w:rFonts w:ascii="Times New Roman" w:hAnsi="Times New Roman" w:eastAsia="仿宋_GB2312" w:cs="Times New Roman"/>
                <w:b/>
                <w:bCs/>
                <w:kern w:val="0"/>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restart"/>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614" w:type="pct"/>
            <w:vMerge w:val="restart"/>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国际金融专业</w:t>
            </w:r>
          </w:p>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2+2本科</w:t>
            </w:r>
          </w:p>
        </w:tc>
        <w:tc>
          <w:tcPr>
            <w:tcW w:w="1537" w:type="pct"/>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2018年9月</w:t>
            </w:r>
          </w:p>
        </w:tc>
        <w:tc>
          <w:tcPr>
            <w:tcW w:w="1407" w:type="pct"/>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vMerge w:val="continue"/>
            <w:shd w:val="clear" w:color="auto" w:fill="auto"/>
            <w:noWrap/>
            <w:vAlign w:val="center"/>
          </w:tcPr>
          <w:p>
            <w:pPr>
              <w:widowControl/>
              <w:spacing w:line="380" w:lineRule="exact"/>
              <w:jc w:val="center"/>
              <w:rPr>
                <w:rFonts w:ascii="Times New Roman" w:hAnsi="Times New Roman" w:eastAsia="仿宋_GB2312" w:cs="Times New Roman"/>
                <w:kern w:val="0"/>
              </w:rPr>
            </w:pPr>
          </w:p>
        </w:tc>
        <w:tc>
          <w:tcPr>
            <w:tcW w:w="1614" w:type="pct"/>
            <w:vMerge w:val="continue"/>
            <w:shd w:val="clear" w:color="auto" w:fill="auto"/>
            <w:noWrap/>
            <w:vAlign w:val="center"/>
          </w:tcPr>
          <w:p>
            <w:pPr>
              <w:widowControl/>
              <w:spacing w:line="380" w:lineRule="exact"/>
              <w:jc w:val="center"/>
              <w:rPr>
                <w:rFonts w:ascii="Times New Roman" w:hAnsi="Times New Roman" w:eastAsia="仿宋_GB2312" w:cs="Times New Roman"/>
                <w:kern w:val="0"/>
              </w:rPr>
            </w:pPr>
          </w:p>
        </w:tc>
        <w:tc>
          <w:tcPr>
            <w:tcW w:w="1537" w:type="pct"/>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2019年9月</w:t>
            </w:r>
          </w:p>
        </w:tc>
        <w:tc>
          <w:tcPr>
            <w:tcW w:w="1407" w:type="pct"/>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42" w:type="pct"/>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614" w:type="pct"/>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日本本科预科</w:t>
            </w:r>
          </w:p>
        </w:tc>
        <w:tc>
          <w:tcPr>
            <w:tcW w:w="1537" w:type="pct"/>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2019年9月</w:t>
            </w:r>
          </w:p>
        </w:tc>
        <w:tc>
          <w:tcPr>
            <w:tcW w:w="1407" w:type="pct"/>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593" w:type="pct"/>
            <w:gridSpan w:val="3"/>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总计</w:t>
            </w:r>
          </w:p>
        </w:tc>
        <w:tc>
          <w:tcPr>
            <w:tcW w:w="1407" w:type="pct"/>
            <w:shd w:val="clear" w:color="auto" w:fill="auto"/>
            <w:noWrap/>
            <w:vAlign w:val="center"/>
          </w:tcPr>
          <w:p>
            <w:pPr>
              <w:widowControl/>
              <w:spacing w:line="380" w:lineRule="exact"/>
              <w:jc w:val="center"/>
              <w:rPr>
                <w:rFonts w:ascii="Times New Roman" w:hAnsi="Times New Roman" w:eastAsia="仿宋_GB2312" w:cs="Times New Roman"/>
                <w:kern w:val="0"/>
              </w:rPr>
            </w:pPr>
            <w:r>
              <w:rPr>
                <w:rFonts w:ascii="Times New Roman" w:hAnsi="Times New Roman" w:eastAsia="仿宋_GB2312" w:cs="Times New Roman"/>
                <w:kern w:val="0"/>
              </w:rPr>
              <w:t>43</w:t>
            </w:r>
          </w:p>
        </w:tc>
      </w:tr>
    </w:tbl>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b w:val="0"/>
          <w:bCs/>
          <w:sz w:val="32"/>
          <w:szCs w:val="32"/>
        </w:rPr>
        <w:t>2.培训模式：面授。</w:t>
      </w:r>
    </w:p>
    <w:p>
      <w:pPr>
        <w:pStyle w:val="35"/>
        <w:ind w:firstLine="643" w:firstLineChars="200"/>
        <w:rPr>
          <w:rFonts w:ascii="Times New Roman" w:hAnsi="Times New Roman" w:eastAsia="楷体_GB2312" w:cs="Times New Roman"/>
          <w:kern w:val="2"/>
        </w:rPr>
      </w:pPr>
      <w:r>
        <w:rPr>
          <w:rFonts w:ascii="Times New Roman" w:hAnsi="Times New Roman" w:eastAsia="楷体_GB2312" w:cs="Times New Roman"/>
          <w:kern w:val="2"/>
        </w:rPr>
        <w:t>（三）人才培养中的思政教育</w:t>
      </w:r>
      <w:r>
        <w:rPr>
          <w:rFonts w:hint="eastAsia" w:ascii="Times New Roman" w:hAnsi="Times New Roman" w:eastAsia="楷体_GB2312" w:cs="Times New Roman"/>
          <w:kern w:val="2"/>
        </w:rPr>
        <w:t>、意识形态教育</w:t>
      </w:r>
    </w:p>
    <w:p>
      <w:pPr>
        <w:spacing w:line="600" w:lineRule="exact"/>
        <w:ind w:firstLine="640"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全面学习贯彻习近平总书记在学校思想政治理论课教师座谈会上讲话精神，在人才培养方案制定过程中贯彻习近平总书记重要讲话精神，按照党中央的要求，积极深化思政课改革，探索推进思政课课程建设，以创新思路、有力举措、务实作风推进思政课改革，为党和国家培养出更多担当民族复兴大任的有用人才。</w:t>
      </w:r>
      <w:r>
        <w:rPr>
          <w:rFonts w:hint="eastAsia" w:ascii="Times New Roman" w:hAnsi="Times New Roman" w:eastAsia="仿宋_GB2312" w:cs="Times New Roman"/>
          <w:kern w:val="0"/>
          <w:sz w:val="32"/>
          <w:szCs w:val="32"/>
        </w:rPr>
        <w:t>开设了“思想道德修养与法律基础”、“毛泽东思想邓小平理论三个代表重要思想”、“新时期中国特色社会主义理论”等课程。</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培训新生入学即进行心理健康普查、新生入学教育，每周召开专题班会，每月召开思想政治主题班会。每学期进行至少一次全员心理健康、思想政治、校园安全专题教育。每年春季学期组织学生参观爱国主义教育基地，进行爱国主义教育</w:t>
      </w:r>
      <w:r>
        <w:rPr>
          <w:rFonts w:hint="eastAsia" w:ascii="Times New Roman" w:hAnsi="Times New Roman" w:eastAsia="仿宋_GB2312" w:cs="Times New Roman"/>
          <w:kern w:val="0"/>
          <w:sz w:val="32"/>
          <w:szCs w:val="32"/>
        </w:rPr>
        <w:t>，意识形态教育常抓不懈</w:t>
      </w:r>
      <w:r>
        <w:rPr>
          <w:rFonts w:ascii="Times New Roman" w:hAnsi="Times New Roman" w:eastAsia="仿宋_GB2312" w:cs="Times New Roman"/>
          <w:kern w:val="0"/>
          <w:sz w:val="32"/>
          <w:szCs w:val="32"/>
        </w:rPr>
        <w:t>。</w:t>
      </w:r>
    </w:p>
    <w:p>
      <w:pPr>
        <w:spacing w:line="600" w:lineRule="exact"/>
        <w:ind w:firstLine="64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2"/>
          <w:szCs w:val="32"/>
        </w:rPr>
        <w:t>每周召开学生工作管理例会，每月召开学生管理全员大会，保证每学期对学生工作人员进行至少两次专题培训并建立完整的监督管理体系，确保学生思想政治教育落到实处。</w:t>
      </w:r>
    </w:p>
    <w:p>
      <w:pPr>
        <w:pStyle w:val="35"/>
        <w:ind w:firstLine="643" w:firstLineChars="200"/>
        <w:rPr>
          <w:rFonts w:ascii="Times New Roman" w:hAnsi="Times New Roman" w:eastAsia="楷体_GB2312" w:cs="Times New Roman"/>
          <w:kern w:val="2"/>
        </w:rPr>
      </w:pPr>
      <w:r>
        <w:rPr>
          <w:rFonts w:ascii="Times New Roman" w:hAnsi="Times New Roman" w:eastAsia="楷体_GB2312" w:cs="Times New Roman"/>
          <w:kern w:val="2"/>
        </w:rPr>
        <w:t>（四）学生学习效果</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在学生培养过程中以满足学习者学习发展需求为导向，以学习者职业能力提升为重点，以经济社会需求为导向，以提高成人学生知识、能力、素质为目标，培养具有较高综合素养、适应职业发展需要、具有创新意识的应用型人才。职业教育培训学生就业率</w:t>
      </w:r>
      <w:r>
        <w:rPr>
          <w:rFonts w:hint="eastAsia" w:ascii="Times New Roman" w:hAnsi="Times New Roman" w:eastAsia="仿宋_GB2312" w:cs="Times New Roman"/>
          <w:kern w:val="0"/>
          <w:sz w:val="32"/>
          <w:szCs w:val="32"/>
        </w:rPr>
        <w:t>83.9</w:t>
      </w:r>
      <w:r>
        <w:rPr>
          <w:rFonts w:ascii="Times New Roman" w:hAnsi="Times New Roman" w:eastAsia="仿宋_GB2312" w:cs="Times New Roman"/>
          <w:kern w:val="0"/>
          <w:sz w:val="32"/>
          <w:szCs w:val="32"/>
        </w:rPr>
        <w:t>%、出国留学培训学生出国率</w:t>
      </w:r>
      <w:r>
        <w:rPr>
          <w:rFonts w:hint="eastAsia" w:ascii="Times New Roman" w:hAnsi="Times New Roman" w:eastAsia="仿宋_GB2312" w:cs="Times New Roman"/>
          <w:kern w:val="0"/>
          <w:sz w:val="32"/>
          <w:szCs w:val="32"/>
        </w:rPr>
        <w:t>84.6</w:t>
      </w:r>
      <w:r>
        <w:rPr>
          <w:rFonts w:ascii="Times New Roman" w:hAnsi="Times New Roman" w:eastAsia="仿宋_GB2312" w:cs="Times New Roman"/>
          <w:kern w:val="0"/>
          <w:sz w:val="32"/>
          <w:szCs w:val="32"/>
        </w:rPr>
        <w:t>%。多年来，学生对学校的培养满意度较高，社会用人单位对毕业生的反馈评价良好。</w:t>
      </w:r>
    </w:p>
    <w:p>
      <w:pPr>
        <w:pStyle w:val="3"/>
        <w:numPr>
          <w:ilvl w:val="0"/>
          <w:numId w:val="0"/>
        </w:numPr>
        <w:spacing w:before="0" w:after="0" w:line="600" w:lineRule="exact"/>
        <w:ind w:leftChars="0" w:firstLine="640" w:firstLineChars="200"/>
        <w:rPr>
          <w:rFonts w:ascii="Times New Roman" w:hAnsi="Times New Roman" w:eastAsia="黑体" w:cs="Times New Roman"/>
          <w:b w:val="0"/>
        </w:rPr>
      </w:pPr>
      <w:r>
        <w:rPr>
          <w:rFonts w:hint="eastAsia" w:ascii="Times New Roman" w:hAnsi="Times New Roman" w:eastAsia="黑体" w:cs="Times New Roman"/>
          <w:b w:val="0"/>
          <w:lang w:eastAsia="zh-CN"/>
        </w:rPr>
        <w:t>四、</w:t>
      </w:r>
      <w:r>
        <w:rPr>
          <w:rFonts w:ascii="Times New Roman" w:hAnsi="Times New Roman" w:eastAsia="黑体" w:cs="Times New Roman"/>
          <w:b w:val="0"/>
        </w:rPr>
        <w:t>质量保证</w:t>
      </w:r>
    </w:p>
    <w:p>
      <w:pPr>
        <w:pStyle w:val="35"/>
        <w:ind w:left="630"/>
        <w:rPr>
          <w:rFonts w:ascii="Times New Roman" w:hAnsi="Times New Roman" w:eastAsia="楷体_GB2312" w:cs="Times New Roman"/>
          <w:kern w:val="2"/>
        </w:rPr>
      </w:pPr>
      <w:r>
        <w:rPr>
          <w:rFonts w:ascii="Times New Roman" w:hAnsi="Times New Roman" w:eastAsia="楷体_GB2312" w:cs="Times New Roman"/>
          <w:kern w:val="2"/>
        </w:rPr>
        <w:t>（一）制度建设</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学校始终秉承哈军工传统，严把教学质量关。学校坚持以制度管理促进高等学历继续教育工作规范化建设，逐步完善了高等学历继续教育办学体制，制定了高等学历继续教育和职业培训等相关制度，包括：《哈尔滨工程大学函授教育辅导站暂行管理办法》、《哈尔滨工程大学函授站职责》、修订了《哈尔滨工程大学成人高等教育函授站（教学点）信誉等级评估办法》、《哈尔滨工程大学高等学历继续教育本科毕业生学士学位授予工作细则》、《哈尔滨工程大学成人高等教育学生学籍管理规定》、《哈尔滨工程大学成人高等教育学生学籍管理补充规定》、《成人函授教育毕业设计（论文）工作管理规定》、《继续教育学院本（专）科生毕业论文规范》、《函授教师教学行为规范》、《课程质量督导制度》、《课程质量督导工作职责》、《哈尔滨工程大学成人学历教育函授站检查走访条例（暂行）》、《函授学生考核与记载办法》、《考试命题原则及试卷管理办法》、《职业教育培训项目招生管理规范（试行）》、《继续教育学院公用教室使用管理规定》、《职业教育培训项目招生管理规范（试行）》、《继续教育学院学生公寓消防安全管理规定（试行）》、《哈尔滨工程大学继续教育学院班主任管理办法（试行）》、《哈尔滨工程大学继续教育学院教学管理办法（试行）》、《继续教育学院班主任年度考核办法（试行）》、《继续教育学院招生接待办公区工作规范（试行）》、《继续教育学院项目管理办公室年度考核评价办法（试行）》等制度。</w:t>
      </w:r>
    </w:p>
    <w:p>
      <w:pPr>
        <w:pStyle w:val="35"/>
        <w:ind w:firstLine="630" w:firstLineChars="196"/>
        <w:rPr>
          <w:rFonts w:ascii="Times New Roman" w:hAnsi="Times New Roman" w:eastAsia="楷体_GB2312" w:cs="Times New Roman"/>
          <w:kern w:val="2"/>
        </w:rPr>
      </w:pPr>
      <w:r>
        <w:rPr>
          <w:rFonts w:ascii="Times New Roman" w:hAnsi="Times New Roman" w:eastAsia="楷体_GB2312" w:cs="Times New Roman"/>
          <w:kern w:val="2"/>
        </w:rPr>
        <w:t>（二）师资保障</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学校继续教育管理人员</w:t>
      </w:r>
      <w:r>
        <w:rPr>
          <w:rFonts w:hint="eastAsia" w:ascii="Times New Roman" w:hAnsi="Times New Roman" w:eastAsia="仿宋_GB2312" w:cs="Times New Roman"/>
          <w:kern w:val="0"/>
          <w:sz w:val="32"/>
          <w:szCs w:val="32"/>
        </w:rPr>
        <w:t>18</w:t>
      </w:r>
      <w:r>
        <w:rPr>
          <w:rFonts w:ascii="Times New Roman" w:hAnsi="Times New Roman" w:eastAsia="仿宋_GB2312" w:cs="Times New Roman"/>
          <w:kern w:val="0"/>
          <w:sz w:val="32"/>
          <w:szCs w:val="32"/>
        </w:rPr>
        <w:t>人，各函授站、项目办管理人员40余人。聘请各类授课教师</w:t>
      </w:r>
      <w:r>
        <w:rPr>
          <w:rFonts w:hint="eastAsia" w:ascii="Times New Roman" w:hAnsi="Times New Roman" w:eastAsia="仿宋_GB2312" w:cs="Times New Roman"/>
          <w:kern w:val="0"/>
          <w:sz w:val="32"/>
          <w:szCs w:val="32"/>
        </w:rPr>
        <w:t>100</w:t>
      </w:r>
      <w:r>
        <w:rPr>
          <w:rFonts w:ascii="Times New Roman" w:hAnsi="Times New Roman" w:eastAsia="仿宋_GB2312" w:cs="Times New Roman"/>
          <w:kern w:val="0"/>
          <w:sz w:val="32"/>
          <w:szCs w:val="32"/>
        </w:rPr>
        <w:t>余名，其中高级职称占30%，中级职称55%。</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020</w:t>
      </w:r>
      <w:r>
        <w:rPr>
          <w:rFonts w:hint="eastAsia" w:ascii="Times New Roman" w:hAnsi="Times New Roman" w:eastAsia="仿宋_GB2312" w:cs="Times New Roman"/>
          <w:kern w:val="0"/>
          <w:sz w:val="32"/>
          <w:szCs w:val="32"/>
        </w:rPr>
        <w:t>年，以英语课程为切入点，选聘2名教师组建学院专任教师队伍，今后将逐步扩展到思政、数学、计算机等通用课程。</w:t>
      </w:r>
      <w:r>
        <w:rPr>
          <w:rFonts w:ascii="Times New Roman" w:hAnsi="Times New Roman" w:eastAsia="仿宋_GB2312" w:cs="Times New Roman"/>
          <w:kern w:val="0"/>
          <w:sz w:val="32"/>
          <w:szCs w:val="32"/>
        </w:rPr>
        <w:t>依托哈尔滨工程大学相关专业教师及经学院审核合格的函授站遴选教师，组成继续教育授课、辅导教师队伍，学校为保障教学质量，定期审核授课教师、辅导教师的资质及教学效果，定期组织管理人员培训，传达学习贯彻相关文件精神，提升管理人员素质。各专业主干课程由学校教师授课、辅导、出题、评卷，答辩环节均由学校教师担任答辩委员会主任</w:t>
      </w:r>
      <w:r>
        <w:rPr>
          <w:rFonts w:hint="eastAsia" w:ascii="Times New Roman" w:hAnsi="Times New Roman" w:eastAsia="仿宋_GB2312" w:cs="Times New Roman"/>
          <w:kern w:val="0"/>
          <w:sz w:val="32"/>
          <w:szCs w:val="32"/>
          <w:lang w:eastAsia="zh-CN"/>
        </w:rPr>
        <w:t>。</w:t>
      </w:r>
    </w:p>
    <w:p>
      <w:pPr>
        <w:pStyle w:val="35"/>
        <w:ind w:left="630"/>
        <w:rPr>
          <w:rFonts w:ascii="Times New Roman" w:hAnsi="Times New Roman" w:eastAsia="楷体_GB2312" w:cs="Times New Roman"/>
          <w:kern w:val="2"/>
        </w:rPr>
      </w:pPr>
      <w:r>
        <w:rPr>
          <w:rFonts w:ascii="Times New Roman" w:hAnsi="Times New Roman" w:eastAsia="楷体_GB2312" w:cs="Times New Roman"/>
          <w:kern w:val="2"/>
        </w:rPr>
        <w:t>（三）资源建设</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kern w:val="0"/>
          <w:sz w:val="32"/>
          <w:szCs w:val="32"/>
        </w:rPr>
        <w:t>充分利用哈尔滨工程大学优质教育资源，提高教学质量。继续教育是大学服务社会的一个重要职能，将学校的优质教育、教学资源向有需要的学生进行有效输出是体现这一职能的重要基础。学校选择特色优质学科中的六个本科专业，利用信息技术，以计算机网络为媒介，开发并启用了高等学历继续教育网络教学管理平台，根据各专业人才培养方案分批次进行录制网络课程资源的录制更新，</w:t>
      </w:r>
      <w:r>
        <w:rPr>
          <w:rFonts w:hint="eastAsia" w:ascii="Times New Roman" w:hAnsi="Times New Roman" w:eastAsia="仿宋_GB2312" w:cs="仿宋_GB2312"/>
          <w:kern w:val="0"/>
          <w:sz w:val="32"/>
          <w:szCs w:val="32"/>
          <w:lang w:val="en-US" w:eastAsia="zh-CN"/>
        </w:rPr>
        <w:t>2020年，</w:t>
      </w:r>
      <w:r>
        <w:rPr>
          <w:rFonts w:hint="eastAsia" w:ascii="Times New Roman" w:hAnsi="Times New Roman" w:eastAsia="仿宋_GB2312" w:cs="仿宋_GB2312"/>
          <w:kern w:val="0"/>
          <w:sz w:val="32"/>
          <w:szCs w:val="32"/>
        </w:rPr>
        <w:t>进行了六个专业</w:t>
      </w:r>
      <w:r>
        <w:rPr>
          <w:rFonts w:ascii="Times New Roman" w:hAnsi="Times New Roman" w:eastAsia="仿宋_GB2312" w:cs="Times New Roman"/>
          <w:kern w:val="0"/>
          <w:sz w:val="32"/>
          <w:szCs w:val="32"/>
        </w:rPr>
        <w:t>70</w:t>
      </w:r>
      <w:r>
        <w:rPr>
          <w:rFonts w:hint="eastAsia" w:ascii="Times New Roman" w:hAnsi="Times New Roman" w:eastAsia="仿宋_GB2312" w:cs="仿宋_GB2312"/>
          <w:kern w:val="0"/>
          <w:sz w:val="32"/>
          <w:szCs w:val="32"/>
        </w:rPr>
        <w:t>余门课程的录制，通过探索和实践全新的教学方式，充分发挥优秀教师作用，进一步提高教学质量</w:t>
      </w:r>
      <w:r>
        <w:rPr>
          <w:rFonts w:hint="eastAsia" w:ascii="Times New Roman" w:hAnsi="Times New Roman" w:eastAsia="仿宋_GB2312" w:cs="仿宋_GB2312"/>
          <w:sz w:val="32"/>
          <w:szCs w:val="32"/>
        </w:rPr>
        <w:t>。</w:t>
      </w:r>
    </w:p>
    <w:p>
      <w:pPr>
        <w:pStyle w:val="35"/>
        <w:ind w:left="630"/>
        <w:rPr>
          <w:rFonts w:ascii="Times New Roman" w:hAnsi="Times New Roman" w:eastAsia="楷体_GB2312" w:cs="Times New Roman"/>
          <w:kern w:val="2"/>
        </w:rPr>
      </w:pPr>
      <w:r>
        <w:rPr>
          <w:rFonts w:hint="eastAsia" w:ascii="Times New Roman" w:hAnsi="Times New Roman" w:eastAsia="楷体_GB2312" w:cs="Times New Roman"/>
          <w:kern w:val="2"/>
        </w:rPr>
        <w:t>（四）合作办学及校外教学站点建设和管理情况</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学校对于合作办学及校外教学站点的建设及管理，严格执行国家、各省教育厅相关文件精神及学校出台的有关规定。学校从招生计划与招生专业的确定、招生宣传、招生录取至新生资格复查都严格执行教育行政部门相关政策和规定，函授站必须认真学习和贯彻国家有关高等学历继续教育的招生政策。各函授站严格执行由学校统一编制的教学计划、课程大纲和教材目录。各专业主干课程、毕业论文答辩等工作由继续教育学院负责，函授站协助完成学生管理、发布通知等辅助性工作。校本部全部课程的教学、考核、试卷及学生学籍管理等工作均由继续教育学院直接负责完成。面授期间，学校派出巡视人员监督和检查函授站教学组织情况和课堂教学情况，平时利用继续教育教学管理平台对函授站学生的学习情况进行监控，确保课程开课和面授学时达到教学计划要求。</w:t>
      </w:r>
    </w:p>
    <w:p>
      <w:pPr>
        <w:spacing w:line="600" w:lineRule="exact"/>
        <w:ind w:firstLine="600" w:firstLineChars="200"/>
        <w:jc w:val="center"/>
        <w:rPr>
          <w:rFonts w:ascii="Times New Roman" w:hAnsi="Times New Roman" w:eastAsia="楷体" w:cs="Times New Roman"/>
          <w:kern w:val="0"/>
          <w:sz w:val="30"/>
          <w:szCs w:val="30"/>
        </w:rPr>
      </w:pPr>
      <w:r>
        <w:rPr>
          <w:rFonts w:ascii="Times New Roman" w:hAnsi="Times New Roman" w:eastAsia="楷体" w:cs="Times New Roman"/>
          <w:kern w:val="0"/>
          <w:sz w:val="30"/>
          <w:szCs w:val="30"/>
        </w:rPr>
        <w:t>表</w:t>
      </w:r>
      <w:r>
        <w:rPr>
          <w:rFonts w:hint="eastAsia" w:ascii="Times New Roman" w:hAnsi="Times New Roman" w:eastAsia="楷体" w:cs="Times New Roman"/>
          <w:kern w:val="0"/>
          <w:sz w:val="30"/>
          <w:szCs w:val="30"/>
        </w:rPr>
        <w:t>6</w:t>
      </w:r>
      <w:r>
        <w:rPr>
          <w:rFonts w:ascii="Times New Roman" w:hAnsi="Times New Roman" w:eastAsia="楷体" w:cs="Times New Roman"/>
          <w:kern w:val="0"/>
          <w:sz w:val="30"/>
          <w:szCs w:val="30"/>
        </w:rPr>
        <w:t xml:space="preserve">    </w:t>
      </w:r>
      <w:r>
        <w:rPr>
          <w:rFonts w:hint="eastAsia" w:ascii="Times New Roman" w:hAnsi="Times New Roman" w:eastAsia="楷体" w:cs="Times New Roman"/>
          <w:kern w:val="0"/>
          <w:sz w:val="30"/>
          <w:szCs w:val="30"/>
        </w:rPr>
        <w:t>学校继续教育的合作情况</w:t>
      </w:r>
    </w:p>
    <w:tbl>
      <w:tblPr>
        <w:tblStyle w:val="14"/>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54"/>
        <w:gridCol w:w="3992"/>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序号</w:t>
            </w:r>
          </w:p>
        </w:tc>
        <w:tc>
          <w:tcPr>
            <w:tcW w:w="1754"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类别</w:t>
            </w: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合作单位</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b/>
                <w:kern w:val="0"/>
              </w:rPr>
            </w:pPr>
            <w:r>
              <w:rPr>
                <w:rFonts w:ascii="Times New Roman" w:hAnsi="Times New Roman" w:eastAsia="仿宋_GB2312" w:cs="Times New Roman"/>
                <w:b/>
                <w:kern w:val="0"/>
              </w:rPr>
              <w:t>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754" w:type="dxa"/>
            <w:vMerge w:val="restart"/>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学历</w:t>
            </w:r>
          </w:p>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教育</w:t>
            </w:r>
          </w:p>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合作</w:t>
            </w:r>
          </w:p>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情况</w:t>
            </w:r>
          </w:p>
        </w:tc>
        <w:tc>
          <w:tcPr>
            <w:tcW w:w="3992" w:type="dxa"/>
            <w:vAlign w:val="center"/>
          </w:tcPr>
          <w:p>
            <w:pPr>
              <w:widowControl/>
              <w:adjustRightInd w:val="0"/>
              <w:snapToGrid w:val="0"/>
              <w:spacing w:line="380" w:lineRule="exact"/>
              <w:jc w:val="center"/>
              <w:textAlignment w:val="center"/>
              <w:rPr>
                <w:rFonts w:ascii="Times New Roman" w:hAnsi="Times New Roman" w:eastAsia="仿宋_GB2312" w:cs="Times New Roman"/>
                <w:kern w:val="0"/>
              </w:rPr>
            </w:pPr>
            <w:r>
              <w:rPr>
                <w:rFonts w:hint="eastAsia" w:ascii="Times New Roman" w:hAnsi="Times New Roman" w:eastAsia="仿宋_GB2312" w:cs="仿宋_GB2312"/>
                <w:kern w:val="0"/>
              </w:rPr>
              <w:t>渤海船舶职业学院</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函授站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jc w:val="center"/>
              <w:textAlignment w:val="center"/>
              <w:rPr>
                <w:rFonts w:ascii="Times New Roman" w:hAnsi="Times New Roman" w:eastAsia="仿宋_GB2312" w:cs="Times New Roman"/>
                <w:kern w:val="0"/>
              </w:rPr>
            </w:pPr>
            <w:r>
              <w:rPr>
                <w:rFonts w:hint="eastAsia" w:ascii="Times New Roman" w:hAnsi="Times New Roman" w:eastAsia="仿宋_GB2312" w:cs="仿宋_GB2312"/>
                <w:kern w:val="0"/>
              </w:rPr>
              <w:t>青岛西海岸航海职业学校</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函授站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jc w:val="center"/>
              <w:textAlignment w:val="center"/>
              <w:rPr>
                <w:rFonts w:ascii="Times New Roman" w:hAnsi="Times New Roman" w:eastAsia="仿宋_GB2312" w:cs="Times New Roman"/>
                <w:kern w:val="0"/>
              </w:rPr>
            </w:pPr>
            <w:r>
              <w:rPr>
                <w:rFonts w:hint="eastAsia" w:ascii="Times New Roman" w:hAnsi="Times New Roman" w:eastAsia="仿宋_GB2312" w:cs="仿宋_GB2312"/>
                <w:kern w:val="0"/>
              </w:rPr>
              <w:t>海口华晟科教有限公司</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函授站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1754" w:type="dxa"/>
            <w:vMerge w:val="restart"/>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非学历</w:t>
            </w:r>
          </w:p>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教育</w:t>
            </w:r>
          </w:p>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合作</w:t>
            </w:r>
          </w:p>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情况</w:t>
            </w: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中国（教育部）留学服务中心</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共建出国留学培训基地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人力资源和社会保障部</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设立国家级专业技术</w:t>
            </w:r>
          </w:p>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人员继续教育基地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澳大利亚纽卡斯尔大学</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国际教育培训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7</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悉尼大学</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国际教育培训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8</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rPr>
              <w:t>悉尼科技大学</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国际教育培训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9</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英国</w:t>
            </w:r>
            <w:r>
              <w:rPr>
                <w:rFonts w:ascii="Times New Roman" w:hAnsi="Times New Roman" w:eastAsia="仿宋_GB2312" w:cs="Times New Roman"/>
              </w:rPr>
              <w:t>阿伯丁大学</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国际教育培训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英国罗伯特高</w:t>
            </w:r>
            <w:r>
              <w:rPr>
                <w:rFonts w:hint="eastAsia" w:ascii="Times New Roman" w:hAnsi="Times New Roman" w:eastAsia="仿宋_GB2312" w:cs="Times New Roman"/>
                <w:kern w:val="0"/>
              </w:rPr>
              <w:t>登</w:t>
            </w:r>
            <w:r>
              <w:rPr>
                <w:rFonts w:ascii="Times New Roman" w:hAnsi="Times New Roman" w:eastAsia="仿宋_GB2312" w:cs="Times New Roman"/>
                <w:kern w:val="0"/>
              </w:rPr>
              <w:t>大学</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国际教育培训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11</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北京衡达投资有限公司</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出国留学培训</w:t>
            </w:r>
          </w:p>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职业教育培训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hint="eastAsia" w:ascii="Times New Roman" w:hAnsi="Times New Roman" w:eastAsia="仿宋_GB2312" w:cs="Times New Roman"/>
                <w:kern w:val="0"/>
              </w:rPr>
              <w:t>12</w:t>
            </w:r>
          </w:p>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hint="eastAsia" w:ascii="Times New Roman" w:hAnsi="Times New Roman" w:eastAsia="仿宋_GB2312" w:cs="Times New Roman"/>
                <w:kern w:val="0"/>
              </w:rPr>
              <w:t>北京中教新博雅国际教育科技有限公司</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hint="eastAsia" w:ascii="Times New Roman" w:hAnsi="Times New Roman" w:eastAsia="仿宋_GB2312" w:cs="Times New Roman"/>
                <w:kern w:val="0"/>
              </w:rPr>
              <w:t>出国留学培训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hint="eastAsia" w:ascii="Times New Roman" w:hAnsi="Times New Roman" w:eastAsia="仿宋_GB2312" w:cs="Times New Roman"/>
                <w:kern w:val="0"/>
              </w:rPr>
              <w:t>13</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hint="eastAsia" w:ascii="Times New Roman" w:hAnsi="Times New Roman" w:eastAsia="仿宋_GB2312" w:cs="Times New Roman"/>
                <w:kern w:val="0"/>
              </w:rPr>
              <w:t>哈尔滨外服出入境服务有限公司</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hint="eastAsia" w:ascii="Times New Roman" w:hAnsi="Times New Roman" w:eastAsia="仿宋_GB2312" w:cs="Times New Roman"/>
                <w:kern w:val="0"/>
              </w:rPr>
              <w:t>出国留学培训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hint="eastAsia" w:ascii="Times New Roman" w:hAnsi="Times New Roman" w:eastAsia="仿宋_GB2312" w:cs="Times New Roman"/>
                <w:kern w:val="0"/>
              </w:rPr>
              <w:t>14</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北京聚华教育投资有限公司</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职业教育培训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hint="eastAsia" w:ascii="Times New Roman" w:hAnsi="Times New Roman" w:eastAsia="仿宋_GB2312" w:cs="Times New Roman"/>
                <w:kern w:val="0"/>
              </w:rPr>
              <w:t>15</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北京北软高科科技发展有限公司</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职业教育培训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820"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hint="eastAsia" w:ascii="Times New Roman" w:hAnsi="Times New Roman" w:eastAsia="仿宋_GB2312" w:cs="Times New Roman"/>
                <w:kern w:val="0"/>
              </w:rPr>
              <w:t>1</w:t>
            </w:r>
            <w:r>
              <w:rPr>
                <w:rFonts w:ascii="Times New Roman" w:hAnsi="Times New Roman" w:eastAsia="仿宋_GB2312" w:cs="Times New Roman"/>
                <w:kern w:val="0"/>
              </w:rPr>
              <w:t>6</w:t>
            </w:r>
          </w:p>
        </w:tc>
        <w:tc>
          <w:tcPr>
            <w:tcW w:w="1754" w:type="dxa"/>
            <w:vMerge w:val="continue"/>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p>
        </w:tc>
        <w:tc>
          <w:tcPr>
            <w:tcW w:w="3992"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hint="eastAsia" w:ascii="Times New Roman" w:hAnsi="Times New Roman" w:eastAsia="仿宋_GB2312" w:cs="Times New Roman"/>
                <w:kern w:val="0"/>
              </w:rPr>
              <w:t>青岛双星集团</w:t>
            </w:r>
          </w:p>
        </w:tc>
        <w:tc>
          <w:tcPr>
            <w:tcW w:w="2658" w:type="dxa"/>
            <w:vAlign w:val="center"/>
          </w:tcPr>
          <w:p>
            <w:pPr>
              <w:widowControl/>
              <w:adjustRightInd w:val="0"/>
              <w:snapToGrid w:val="0"/>
              <w:spacing w:line="380" w:lineRule="exact"/>
              <w:contextualSpacing/>
              <w:jc w:val="center"/>
              <w:textAlignment w:val="center"/>
              <w:rPr>
                <w:rFonts w:ascii="Times New Roman" w:hAnsi="Times New Roman" w:eastAsia="仿宋_GB2312" w:cs="Times New Roman"/>
                <w:kern w:val="0"/>
              </w:rPr>
            </w:pPr>
            <w:r>
              <w:rPr>
                <w:rFonts w:ascii="Times New Roman" w:hAnsi="Times New Roman" w:eastAsia="仿宋_GB2312" w:cs="Times New Roman"/>
                <w:kern w:val="0"/>
              </w:rPr>
              <w:t>职业教育培训</w:t>
            </w:r>
          </w:p>
        </w:tc>
      </w:tr>
    </w:tbl>
    <w:p>
      <w:pPr>
        <w:pStyle w:val="35"/>
        <w:ind w:left="630"/>
        <w:rPr>
          <w:rFonts w:ascii="Times New Roman" w:hAnsi="Times New Roman" w:eastAsia="楷体_GB2312" w:cs="Times New Roman"/>
          <w:kern w:val="2"/>
        </w:rPr>
      </w:pPr>
    </w:p>
    <w:p>
      <w:pPr>
        <w:pStyle w:val="35"/>
        <w:ind w:left="630"/>
        <w:rPr>
          <w:rFonts w:ascii="Times New Roman" w:hAnsi="Times New Roman" w:eastAsia="楷体_GB2312" w:cs="Times New Roman"/>
          <w:kern w:val="2"/>
        </w:rPr>
      </w:pPr>
      <w:r>
        <w:rPr>
          <w:rFonts w:hint="eastAsia" w:ascii="Times New Roman" w:hAnsi="Times New Roman" w:eastAsia="楷体_GB2312" w:cs="Times New Roman"/>
          <w:kern w:val="2"/>
        </w:rPr>
        <w:t>（五）内部外部质量保障</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根据学校年度发展目标，制定学校继续教育年度工作计划，紧密围绕工作目标和质量标准，提出切实可行的具体建设措施和明确的预期成效，同时各部门明确提升管理服务质量的具体措施，各部门均结合学校整体发展、专业建设、课程建设、师资队伍建设的目标和标准，建设自我诊断和改进机制。通过相关省份教育厅年度工作检查及评估，学校定期进行工作质量诊断，防微杜渐，发现问题，及时解决，并通过完善工作流程和工作制度，防止类似问题的再次发生，从而不断改进工作质量和教学质量。深入开展内涵式建设，网络平台及课程资源建设，强化内控机制，提升办学质量，维护学校社会声誉，充分发挥高校服务社会和地方经济建设职能。</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根据各省教育厅办公室关于印发相关管理办法和《关于进一步加强高等学历继续教育函授站和现代远程教育校外学习中心管理的通知》等文件精神，学校认真做好年度函授站备案工作，对照检查评估指标进行自查工作，接受各省教育厅就办学指导思想、定位与培养目标、人员与基础设施条件、课程设置、教学资源建设、学籍管理、教学管理、教学效果、安全保障与稳定等方面的各项检查。</w:t>
      </w:r>
    </w:p>
    <w:p>
      <w:pPr>
        <w:pStyle w:val="35"/>
        <w:ind w:left="630"/>
        <w:rPr>
          <w:rFonts w:ascii="Times New Roman" w:hAnsi="Times New Roman" w:eastAsia="楷体_GB2312" w:cs="Times New Roman"/>
          <w:kern w:val="2"/>
        </w:rPr>
      </w:pPr>
      <w:r>
        <w:rPr>
          <w:rFonts w:hint="eastAsia" w:ascii="Times New Roman" w:hAnsi="Times New Roman" w:eastAsia="楷体_GB2312" w:cs="Times New Roman"/>
          <w:kern w:val="2"/>
        </w:rPr>
        <w:t>（六）信息化建设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kern w:val="0"/>
          <w:sz w:val="32"/>
          <w:szCs w:val="32"/>
        </w:rPr>
        <w:t>十九大报告提出</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办好网络教育</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强调了网络教育在全面开创教育改革发展新局面中的重要作用。学校重新建设了继续教育学院网站，提供信息发布、查询、教学管理平台等相关端口及拓展空间，为学院今后实现信息化建设奠定基础。继续教育学院投入资金建设了高等学历继续教学管理平台、一间现代化多媒体录播教室，以服务学生为中心，满足以计算机网络为媒介，探索和实践全新的教学方式，根据线上线下混合教学模式，启用高等学历继续教育网络教学管理平台，学生在线进行线上学习、练习，学校根据平台数据掌握学生学习进度，保障学习质量，进行对学生从报到、学习、管理、毕业等信息的全过程网络化管理，以适应时代发展的需要</w:t>
      </w:r>
      <w:r>
        <w:rPr>
          <w:rFonts w:hint="eastAsia" w:ascii="Times New Roman" w:hAnsi="Times New Roman" w:eastAsia="仿宋_GB2312" w:cs="仿宋_GB2312"/>
          <w:sz w:val="32"/>
          <w:szCs w:val="32"/>
        </w:rPr>
        <w:t>。</w:t>
      </w:r>
    </w:p>
    <w:p>
      <w:pPr>
        <w:pStyle w:val="35"/>
        <w:ind w:left="630"/>
        <w:rPr>
          <w:rFonts w:ascii="Times New Roman" w:hAnsi="Times New Roman" w:eastAsia="楷体_GB2312" w:cs="Times New Roman"/>
          <w:kern w:val="2"/>
        </w:rPr>
      </w:pPr>
      <w:r>
        <w:rPr>
          <w:rFonts w:hint="eastAsia" w:ascii="Times New Roman" w:hAnsi="Times New Roman" w:eastAsia="楷体_GB2312" w:cs="楷体_GB2312"/>
          <w:kern w:val="2"/>
        </w:rPr>
        <w:t>（七）经费保障</w:t>
      </w:r>
    </w:p>
    <w:p>
      <w:pPr>
        <w:spacing w:line="600" w:lineRule="exact"/>
        <w:ind w:firstLine="640" w:firstLineChars="200"/>
        <w:rPr>
          <w:rFonts w:ascii="Times New Roman" w:hAnsi="Times New Roman" w:eastAsia="仿宋_GB2312" w:cs="仿宋_GB2312"/>
          <w:sz w:val="32"/>
          <w:szCs w:val="32"/>
        </w:rPr>
      </w:pPr>
      <w:r>
        <w:rPr>
          <w:rFonts w:ascii="Times New Roman" w:hAnsi="Times New Roman" w:eastAsia="仿宋_GB2312" w:cs="Times New Roman"/>
          <w:kern w:val="0"/>
          <w:sz w:val="32"/>
          <w:szCs w:val="32"/>
        </w:rPr>
        <w:t>2020</w:t>
      </w:r>
      <w:r>
        <w:rPr>
          <w:rFonts w:hint="eastAsia" w:ascii="Times New Roman" w:hAnsi="Times New Roman" w:eastAsia="仿宋_GB2312" w:cs="仿宋_GB2312"/>
          <w:kern w:val="0"/>
          <w:sz w:val="32"/>
          <w:szCs w:val="32"/>
        </w:rPr>
        <w:t>年度，高等学历继续教育学费大部分用于教学管理，主要用于招生、讲课费、班主任费、毕业设计（论文）指导及答辩、评卷、监考等日常教学支出和学习管理平台资源建设等。</w:t>
      </w:r>
    </w:p>
    <w:p>
      <w:pPr>
        <w:pStyle w:val="3"/>
        <w:numPr>
          <w:ilvl w:val="0"/>
          <w:numId w:val="0"/>
        </w:numPr>
        <w:spacing w:before="0" w:after="0" w:line="600" w:lineRule="exact"/>
        <w:ind w:leftChars="0" w:firstLine="640" w:firstLineChars="200"/>
        <w:rPr>
          <w:rFonts w:ascii="Times New Roman" w:hAnsi="Times New Roman" w:eastAsia="黑体" w:cs="Times New Roman"/>
          <w:b w:val="0"/>
        </w:rPr>
      </w:pPr>
      <w:r>
        <w:rPr>
          <w:rFonts w:hint="eastAsia" w:ascii="Times New Roman" w:hAnsi="Times New Roman" w:eastAsia="黑体" w:cs="Times New Roman"/>
          <w:b w:val="0"/>
          <w:lang w:eastAsia="zh-CN"/>
        </w:rPr>
        <w:t>五、</w:t>
      </w:r>
      <w:r>
        <w:rPr>
          <w:rFonts w:ascii="Times New Roman" w:hAnsi="Times New Roman" w:eastAsia="黑体" w:cs="Times New Roman"/>
          <w:b w:val="0"/>
        </w:rPr>
        <w:t>社会贡献</w:t>
      </w:r>
    </w:p>
    <w:p>
      <w:pPr>
        <w:pStyle w:val="35"/>
        <w:ind w:firstLine="630" w:firstLineChars="196"/>
        <w:rPr>
          <w:rFonts w:ascii="Times New Roman" w:hAnsi="Times New Roman" w:eastAsia="楷体_GB2312" w:cs="Times New Roman"/>
          <w:kern w:val="2"/>
        </w:rPr>
      </w:pPr>
      <w:r>
        <w:rPr>
          <w:rFonts w:hint="eastAsia" w:ascii="Times New Roman" w:hAnsi="Times New Roman" w:eastAsia="楷体_GB2312" w:cs="楷体_GB2312"/>
          <w:kern w:val="2"/>
        </w:rPr>
        <w:t>（一）继续教育服务国家战略、行业及经济社会发展与学习型社会建设情况</w:t>
      </w:r>
    </w:p>
    <w:p>
      <w:pPr>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新形势下高校继续教育要将定位体现在服从服务国家经济社会发展的战略大局上。作为服务社会的窗口，继续教育不仅是连接高校与社会的桥梁和纽带，而且助推了高校与政府、企业、社会之间的沟通与交流。学校充分认识到服务地方经济建设，促进当地社会发展的重要性，充分发挥特色学科优势，依托产业行业，积极开展广泛的合作办学，尽最大限度的利用学校在教学科研方面的优势。</w:t>
      </w:r>
      <w:r>
        <w:rPr>
          <w:rFonts w:hint="eastAsia" w:ascii="Times New Roman" w:hAnsi="Times New Roman" w:eastAsia="仿宋_GB2312" w:cs="Times New Roman"/>
          <w:kern w:val="0"/>
          <w:sz w:val="32"/>
          <w:szCs w:val="32"/>
        </w:rPr>
        <w:t>2020年，为推动船舶工业智能化转型，促进人工智能技术广泛应用，通过中国造船工程学会主持的“科创中国”造船科技服务活动，面向船舶制造行业企事业单位，成功举办了“船舶与海洋装备制造业人员培训班”，受到参训单位的认可和好评。多年来，学校继续教育紧紧围绕国家战</w:t>
      </w:r>
      <w:r>
        <w:rPr>
          <w:rFonts w:hint="eastAsia" w:ascii="Times New Roman" w:hAnsi="Times New Roman" w:eastAsia="仿宋_GB2312" w:cs="仿宋_GB2312"/>
          <w:kern w:val="0"/>
          <w:sz w:val="32"/>
          <w:szCs w:val="32"/>
        </w:rPr>
        <w:t>略、经济社会发展与学习型社会建设的需要，结合学校自身的办学优势，在</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三海一核</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领域，通过多种学习形式，以学习者职业能力提升为重点，以经济社会需求为导向，以提高高等学历继续教育学生知识、能力、素质为目标，培养具有较高综合素养、适应职业发展需要、具有创新意识的应用型人才，为行业、社会培养了</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万余名各类人才。</w:t>
      </w:r>
    </w:p>
    <w:p>
      <w:pPr>
        <w:pStyle w:val="35"/>
        <w:ind w:left="630"/>
        <w:rPr>
          <w:rFonts w:ascii="Times New Roman" w:hAnsi="Times New Roman" w:eastAsia="楷体_GB2312" w:cs="Times New Roman"/>
          <w:kern w:val="2"/>
        </w:rPr>
      </w:pPr>
      <w:r>
        <w:rPr>
          <w:rFonts w:hint="eastAsia" w:ascii="Times New Roman" w:hAnsi="Times New Roman" w:eastAsia="楷体_GB2312" w:cs="楷体_GB2312"/>
          <w:kern w:val="2"/>
        </w:rPr>
        <w:t>（二）资源开放服务情况</w:t>
      </w:r>
    </w:p>
    <w:p>
      <w:pPr>
        <w:spacing w:line="600" w:lineRule="exact"/>
        <w:rPr>
          <w:rFonts w:hint="eastAsia" w:ascii="Times New Roman" w:hAnsi="Times New Roman" w:eastAsia="仿宋_GB2312" w:cs="Times New Roman"/>
          <w:kern w:val="0"/>
          <w:sz w:val="32"/>
          <w:szCs w:val="32"/>
        </w:rPr>
      </w:pPr>
      <w:r>
        <w:rPr>
          <w:rFonts w:ascii="Times New Roman" w:hAnsi="Times New Roman" w:eastAsia="楷体_GB2312" w:cs="Times New Roman"/>
        </w:rPr>
        <w:t xml:space="preserve">     </w:t>
      </w:r>
      <w:r>
        <w:rPr>
          <w:rFonts w:hint="eastAsia" w:ascii="Times New Roman" w:hAnsi="Times New Roman" w:eastAsia="仿宋_GB2312" w:cs="仿宋_GB2312"/>
          <w:kern w:val="0"/>
          <w:sz w:val="32"/>
          <w:szCs w:val="32"/>
        </w:rPr>
        <w:t>学校包括录播教室等继续教育资源向校内开放、共享，同时为其他有需求的兄弟高校提供开放服务。</w:t>
      </w:r>
      <w:r>
        <w:rPr>
          <w:rFonts w:hint="eastAsia" w:ascii="Times New Roman" w:hAnsi="Times New Roman" w:eastAsia="仿宋_GB2312" w:cs="Times New Roman"/>
          <w:kern w:val="0"/>
          <w:sz w:val="32"/>
          <w:szCs w:val="32"/>
        </w:rPr>
        <w:t>学校建设的省级网络助学示范平台向省内各高校开放，黑龙江大学、哈尔滨理工大学、哈尔滨商业大学等七所院校已经通过该平台开展网络助学及评价考核工作。</w:t>
      </w:r>
    </w:p>
    <w:p>
      <w:pPr>
        <w:numPr>
          <w:ilvl w:val="0"/>
          <w:numId w:val="1"/>
        </w:numPr>
        <w:spacing w:line="60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落实“不忘初心”主题教育成果，开展志愿服务活动</w:t>
      </w:r>
    </w:p>
    <w:p>
      <w:pPr>
        <w:spacing w:line="600" w:lineRule="exact"/>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sz w:val="32"/>
          <w:szCs w:val="32"/>
        </w:rPr>
        <w:t xml:space="preserve">   </w:t>
      </w:r>
      <w:r>
        <w:rPr>
          <w:rFonts w:hint="eastAsia" w:ascii="Times New Roman" w:hAnsi="Times New Roman" w:eastAsia="仿宋_GB2312" w:cs="Times New Roman"/>
          <w:kern w:val="0"/>
          <w:sz w:val="32"/>
          <w:szCs w:val="32"/>
        </w:rPr>
        <w:t xml:space="preserve"> 志愿服务活</w:t>
      </w:r>
      <w:r>
        <w:rPr>
          <w:rFonts w:ascii="Times New Roman" w:hAnsi="Times New Roman" w:eastAsia="仿宋_GB2312" w:cs="Times New Roman"/>
          <w:kern w:val="0"/>
          <w:sz w:val="32"/>
          <w:szCs w:val="32"/>
        </w:rPr>
        <w:t>动面向全校教职工子弟</w:t>
      </w:r>
      <w:r>
        <w:rPr>
          <w:rFonts w:hint="eastAsia" w:ascii="Times New Roman" w:hAnsi="Times New Roman" w:eastAsia="仿宋_GB2312" w:cs="Times New Roman"/>
          <w:kern w:val="0"/>
          <w:sz w:val="32"/>
          <w:szCs w:val="32"/>
        </w:rPr>
        <w:t>（小学、初中），开设小学英语班和初中英语班，上课时间为12月1日-12月26日（每周二下午、周六上午），课程主要内容为新概念英语相关知识。此次活动受到了教师的欢迎，解决了教师的实际需求。我们将在本次志愿活动基础上，不断总结经验，丰富辅导科目，优化上课时间，满足学校教职工子女教育需求。疫情期间，</w:t>
      </w:r>
      <w:r>
        <w:rPr>
          <w:rFonts w:hint="eastAsia" w:ascii="Times New Roman" w:hAnsi="Times New Roman" w:eastAsia="仿宋_GB2312" w:cs="Times New Roman"/>
          <w:kern w:val="0"/>
          <w:sz w:val="32"/>
          <w:szCs w:val="32"/>
          <w:lang w:eastAsia="zh-CN"/>
        </w:rPr>
        <w:t>学院教职工师生代表积极参加学校内外的抗疫志愿服务活动</w:t>
      </w:r>
      <w:r>
        <w:rPr>
          <w:rFonts w:hint="eastAsia" w:ascii="Times New Roman" w:hAnsi="Times New Roman" w:eastAsia="仿宋_GB2312" w:cs="Times New Roman"/>
          <w:kern w:val="0"/>
          <w:sz w:val="32"/>
          <w:szCs w:val="32"/>
        </w:rPr>
        <w:t>，为所在社区</w:t>
      </w:r>
      <w:r>
        <w:rPr>
          <w:rFonts w:hint="eastAsia" w:ascii="Times New Roman" w:hAnsi="Times New Roman" w:eastAsia="仿宋_GB2312" w:cs="Times New Roman"/>
          <w:kern w:val="0"/>
          <w:sz w:val="32"/>
          <w:szCs w:val="32"/>
          <w:lang w:eastAsia="zh-CN"/>
        </w:rPr>
        <w:t>抗疫工作</w:t>
      </w:r>
      <w:r>
        <w:rPr>
          <w:rFonts w:hint="eastAsia" w:ascii="Times New Roman" w:hAnsi="Times New Roman" w:eastAsia="仿宋_GB2312" w:cs="Times New Roman"/>
          <w:kern w:val="0"/>
          <w:sz w:val="32"/>
          <w:szCs w:val="32"/>
        </w:rPr>
        <w:t>提供助力。</w:t>
      </w:r>
    </w:p>
    <w:p>
      <w:pPr>
        <w:pStyle w:val="3"/>
        <w:numPr>
          <w:ilvl w:val="0"/>
          <w:numId w:val="0"/>
        </w:numPr>
        <w:spacing w:before="0" w:after="0" w:line="600" w:lineRule="exact"/>
        <w:ind w:leftChars="0" w:firstLine="640" w:firstLineChars="200"/>
        <w:rPr>
          <w:rFonts w:ascii="Times New Roman" w:hAnsi="Times New Roman" w:eastAsia="黑体" w:cs="Times New Roman"/>
          <w:b w:val="0"/>
        </w:rPr>
      </w:pPr>
      <w:r>
        <w:rPr>
          <w:rFonts w:hint="eastAsia" w:ascii="Times New Roman" w:hAnsi="Times New Roman" w:eastAsia="黑体" w:cs="Times New Roman"/>
          <w:b w:val="0"/>
          <w:lang w:eastAsia="zh-CN"/>
        </w:rPr>
        <w:t>六、</w:t>
      </w:r>
      <w:r>
        <w:rPr>
          <w:rFonts w:ascii="Times New Roman" w:hAnsi="Times New Roman" w:eastAsia="黑体" w:cs="Times New Roman"/>
          <w:b w:val="0"/>
        </w:rPr>
        <w:t>特色创新</w:t>
      </w:r>
    </w:p>
    <w:p>
      <w:pPr>
        <w:numPr>
          <w:ilvl w:val="0"/>
          <w:numId w:val="0"/>
        </w:numPr>
        <w:spacing w:line="600" w:lineRule="exact"/>
        <w:ind w:firstLine="643" w:firstLineChars="200"/>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（一）学历继续教育实践特色与模式创新</w:t>
      </w:r>
    </w:p>
    <w:p>
      <w:pPr>
        <w:spacing w:line="600" w:lineRule="exact"/>
        <w:ind w:firstLine="640" w:firstLineChars="200"/>
        <w:rPr>
          <w:rFonts w:hint="eastAsia" w:ascii="仿宋_GB2312" w:hAnsi="Times New Roman" w:eastAsia="仿宋_GB2312" w:cs="Times New Roman"/>
          <w:kern w:val="0"/>
          <w:sz w:val="32"/>
          <w:szCs w:val="32"/>
        </w:rPr>
      </w:pPr>
      <w:r>
        <w:rPr>
          <w:rFonts w:ascii="Times New Roman" w:hAnsi="Times New Roman" w:eastAsia="仿宋_GB2312" w:cs="Times New Roman"/>
          <w:kern w:val="0"/>
          <w:sz w:val="32"/>
          <w:szCs w:val="32"/>
        </w:rPr>
        <w:t>学校继续教育不断探索改革创新新模式，运用线上与线下、课堂与实践、高校教师与行业专家相结合的混合式培养模式。将解决边学边用、学以致用；使碎片化时间的学习有成效；激发学习兴趣，提高学习成就感。</w:t>
      </w:r>
    </w:p>
    <w:p>
      <w:pPr>
        <w:numPr>
          <w:ilvl w:val="0"/>
          <w:numId w:val="0"/>
        </w:numPr>
        <w:spacing w:line="600" w:lineRule="exact"/>
        <w:ind w:firstLine="643" w:firstLineChars="200"/>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（二）非学历继续教育实践特色与模式创新</w:t>
      </w:r>
    </w:p>
    <w:p>
      <w:pPr>
        <w:numPr>
          <w:ilvl w:val="0"/>
          <w:numId w:val="0"/>
        </w:num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020</w:t>
      </w:r>
      <w:r>
        <w:rPr>
          <w:rFonts w:hint="eastAsia" w:ascii="Times New Roman" w:hAnsi="Times New Roman" w:eastAsia="仿宋_GB2312" w:cs="Times New Roman"/>
          <w:kern w:val="0"/>
          <w:sz w:val="32"/>
          <w:szCs w:val="32"/>
        </w:rPr>
        <w:t>年，与青岛双星集团签订了以企业需求为导向的职业教育培训“双星轮胎专项班”项目。双方发挥各自优势，按照“合作招生、定制培养、定向就业”的原则，面向轮胎一线生产岗位进行制造工匠的联合培养</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项目采取订单式培养方式，招生对象为高中毕业生，学制“2+1”年，双方共同制定培养计划。根据企业需求设置相应专业。学生入学后，在校学习两年，第三年进入企业实习。双方共同编写一系列面向轮胎生产制造领域的专用教材，教材内容以双方合作办学项目为基础，以培养具有实际工作能力的技能型、应用型人才为目标。教材作为“双星轮胎专项班”的专业课程教材。</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kern w:val="0"/>
          <w:sz w:val="32"/>
          <w:szCs w:val="32"/>
        </w:rPr>
        <w:t>通过校企合作打造</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 xml:space="preserve">职业技能培训 </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 xml:space="preserve"> 学历提升 + 就业推荐</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的特色职业教育培训项目。以就业为导向、以用人单位需求为目标，培养应用型、技能型人才。</w:t>
      </w:r>
    </w:p>
    <w:p>
      <w:pPr>
        <w:pStyle w:val="3"/>
        <w:numPr>
          <w:ilvl w:val="0"/>
          <w:numId w:val="0"/>
        </w:numPr>
        <w:spacing w:before="0" w:after="0" w:line="600" w:lineRule="exact"/>
        <w:ind w:leftChars="0" w:firstLine="640" w:firstLineChars="200"/>
        <w:rPr>
          <w:rFonts w:ascii="Times New Roman" w:hAnsi="Times New Roman" w:eastAsia="黑体" w:cs="Times New Roman"/>
          <w:b w:val="0"/>
        </w:rPr>
      </w:pPr>
      <w:r>
        <w:rPr>
          <w:rFonts w:hint="eastAsia" w:ascii="Times New Roman" w:hAnsi="Times New Roman" w:eastAsia="黑体" w:cs="Times New Roman"/>
          <w:b w:val="0"/>
          <w:lang w:eastAsia="zh-CN"/>
        </w:rPr>
        <w:t>七、</w:t>
      </w:r>
      <w:r>
        <w:rPr>
          <w:rFonts w:ascii="Times New Roman" w:hAnsi="Times New Roman" w:eastAsia="黑体" w:cs="Times New Roman"/>
          <w:b w:val="0"/>
        </w:rPr>
        <w:t>问题挑战</w:t>
      </w:r>
    </w:p>
    <w:p>
      <w:pPr>
        <w:pStyle w:val="35"/>
        <w:ind w:left="630"/>
        <w:rPr>
          <w:rFonts w:ascii="Times New Roman" w:hAnsi="Times New Roman" w:eastAsia="楷体" w:cs="Times New Roman"/>
        </w:rPr>
      </w:pPr>
      <w:r>
        <w:rPr>
          <w:rFonts w:ascii="Times New Roman" w:hAnsi="Times New Roman" w:eastAsia="楷体_GB2312" w:cs="Times New Roman"/>
          <w:kern w:val="2"/>
        </w:rPr>
        <w:t>（一）</w:t>
      </w:r>
      <w:r>
        <w:rPr>
          <w:rFonts w:ascii="Times New Roman" w:hAnsi="Times New Roman" w:eastAsia="楷体" w:cs="Times New Roman"/>
        </w:rPr>
        <w:t>面对的新挑战、新需求</w:t>
      </w:r>
    </w:p>
    <w:p>
      <w:pPr>
        <w:widowControl/>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由于受传统观念、体制机制、办学模式、评价标准等方面的影响</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高校继续教育存在不少问题、矛盾和挑战</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从学校事业发展总体布局来说</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存在着全日制学历教育和继续教育、学历继续教育和非学历继续教育发展不协调、不均衡、不同步的问题</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部分高校没有把学历教育和继续教育统筹规划、协调发展</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忽视继续教育与职业教育</w:t>
      </w:r>
      <w:r>
        <w:rPr>
          <w:rFonts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继续教育与全日制教育缺少有效的沟通衔接</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学校各种教育资源不能够互通有无</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影响了高校继续教育的办学质量、水平和效率。从高校继续教育发展现状来说</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还存在着观念陈旧、定位不准、地位边缘、抓手不足、创新不够、特色不明、质量不高等问题。进入新时代</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急需在国家终身教育体系框架下</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解决高校全日制学历教育与继续教育发展不协调、不充分、不均衡的问题。</w:t>
      </w:r>
    </w:p>
    <w:p>
      <w:pPr>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着黑龙江省继续教育工作不断发展壮大，非学历继续教育培训呈现出办学单位多、专业重复率高、办学层次普遍偏低的情况。学校在未来五年发展规划中确定了打造精品培训项目的总体目标，逐步缩减、淘汰一批层次不高、专业陈旧的职业教育培训项目，依托学校</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三海一核</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特色专业学科群，瞄准新行业、新技术，联合相关行业龙头企业，以学校为主导，打造适应高新技术产业技术人才需求的高端技能人才培训项目。</w:t>
      </w:r>
    </w:p>
    <w:p>
      <w:pPr>
        <w:snapToGrid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按照学校青岛创新发展基地（青岛校区）和烟台研究生院建设规划，继续教育提前进入青岛、烟台地区开展培训工作。经过两年的摸索和尝试，非学历全日制培训项目取得了较好的效果。办学场地不足是制约异地非学历培训项目发展的主要因素。</w:t>
      </w:r>
    </w:p>
    <w:p>
      <w:pPr>
        <w:pStyle w:val="35"/>
        <w:ind w:firstLine="643" w:firstLineChars="200"/>
        <w:rPr>
          <w:rFonts w:ascii="Times New Roman" w:hAnsi="Times New Roman" w:cs="Times New Roman"/>
        </w:rPr>
      </w:pPr>
      <w:r>
        <w:rPr>
          <w:rFonts w:ascii="Times New Roman" w:hAnsi="Times New Roman" w:eastAsia="楷体_GB2312" w:cs="Times New Roman"/>
          <w:kern w:val="2"/>
        </w:rPr>
        <w:t>（二）</w:t>
      </w:r>
      <w:r>
        <w:rPr>
          <w:rFonts w:ascii="Times New Roman" w:hAnsi="Times New Roman" w:eastAsia="楷体" w:cs="Times New Roman"/>
        </w:rPr>
        <w:t>存在的主要问题及原因</w:t>
      </w:r>
    </w:p>
    <w:p>
      <w:pPr>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1.学校继续教育管理队伍人员不足、层次不高，</w:t>
      </w:r>
      <w:r>
        <w:rPr>
          <w:rFonts w:hint="eastAsia" w:ascii="Times New Roman" w:hAnsi="Times New Roman" w:eastAsia="仿宋_GB2312" w:cs="Times New Roman"/>
          <w:kern w:val="0"/>
          <w:sz w:val="32"/>
          <w:szCs w:val="32"/>
        </w:rPr>
        <w:t>特别是缺少一</w:t>
      </w:r>
      <w:r>
        <w:rPr>
          <w:rFonts w:hint="eastAsia" w:ascii="Times New Roman" w:hAnsi="Times New Roman" w:eastAsia="仿宋_GB2312" w:cs="Times New Roman"/>
          <w:kern w:val="0"/>
          <w:sz w:val="32"/>
          <w:szCs w:val="32"/>
          <w:lang w:eastAsia="zh-CN"/>
        </w:rPr>
        <w:t>支</w:t>
      </w:r>
      <w:r>
        <w:rPr>
          <w:rFonts w:hint="eastAsia" w:ascii="Times New Roman" w:hAnsi="Times New Roman" w:eastAsia="仿宋_GB2312" w:cs="Times New Roman"/>
          <w:kern w:val="0"/>
          <w:sz w:val="32"/>
          <w:szCs w:val="32"/>
        </w:rPr>
        <w:t>具有战斗力的市场开拓队伍</w:t>
      </w:r>
      <w:r>
        <w:rPr>
          <w:rFonts w:ascii="Times New Roman" w:hAnsi="Times New Roman" w:eastAsia="仿宋_GB2312" w:cs="Times New Roman"/>
          <w:kern w:val="0"/>
          <w:sz w:val="32"/>
          <w:szCs w:val="32"/>
        </w:rPr>
        <w:t>。主要原因在于</w:t>
      </w:r>
      <w:r>
        <w:rPr>
          <w:rFonts w:hint="eastAsia" w:ascii="Times New Roman" w:hAnsi="Times New Roman" w:eastAsia="仿宋_GB2312" w:cs="Times New Roman"/>
          <w:kern w:val="0"/>
          <w:sz w:val="32"/>
          <w:szCs w:val="32"/>
        </w:rPr>
        <w:t>学院独立运行时间短，短期培训课程资源和人力资源积累不足</w:t>
      </w:r>
      <w:r>
        <w:rPr>
          <w:rFonts w:ascii="Times New Roman" w:hAnsi="Times New Roman" w:eastAsia="仿宋_GB2312" w:cs="Times New Roman"/>
          <w:kern w:val="0"/>
          <w:sz w:val="32"/>
          <w:szCs w:val="32"/>
        </w:rPr>
        <w:t>。</w:t>
      </w:r>
    </w:p>
    <w:p>
      <w:pPr>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2.课程和教材等教学的核心资源建设不足。继续教育发展历史的断层，导致了课程建设和教材建设的滞后。今后一段时间内，建设一批高质量课程和教材是提高学校继续教育工作水平的重要内容。</w:t>
      </w:r>
    </w:p>
    <w:p>
      <w:pPr>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3.校内可使用资源不足，导致发展空间受限。主要原因是</w:t>
      </w:r>
      <w:r>
        <w:rPr>
          <w:rFonts w:hint="eastAsia" w:ascii="Times New Roman" w:hAnsi="Times New Roman" w:eastAsia="仿宋_GB2312" w:cs="Times New Roman"/>
          <w:kern w:val="0"/>
          <w:sz w:val="32"/>
          <w:szCs w:val="32"/>
          <w:lang w:eastAsia="zh-CN"/>
        </w:rPr>
        <w:t>疫情影响下</w:t>
      </w:r>
      <w:r>
        <w:rPr>
          <w:rFonts w:ascii="Times New Roman" w:hAnsi="Times New Roman" w:eastAsia="仿宋_GB2312" w:cs="Times New Roman"/>
          <w:kern w:val="0"/>
          <w:sz w:val="32"/>
          <w:szCs w:val="32"/>
        </w:rPr>
        <w:t>学校整体发展资源不充足。</w:t>
      </w:r>
    </w:p>
    <w:p>
      <w:pPr>
        <w:pStyle w:val="3"/>
        <w:pageBreakBefore w:val="0"/>
        <w:numPr>
          <w:ilvl w:val="0"/>
          <w:numId w:val="0"/>
        </w:numPr>
        <w:kinsoku/>
        <w:wordWrap/>
        <w:overflowPunct/>
        <w:topLinePunct w:val="0"/>
        <w:autoSpaceDE/>
        <w:autoSpaceDN/>
        <w:bidi w:val="0"/>
        <w:spacing w:before="0" w:after="0" w:line="600" w:lineRule="exact"/>
        <w:ind w:leftChars="0" w:firstLine="640" w:firstLineChars="200"/>
        <w:rPr>
          <w:rFonts w:ascii="Times New Roman" w:hAnsi="Times New Roman" w:eastAsia="黑体" w:cs="Times New Roman"/>
          <w:b w:val="0"/>
        </w:rPr>
      </w:pPr>
      <w:r>
        <w:rPr>
          <w:rFonts w:hint="eastAsia" w:ascii="Times New Roman" w:hAnsi="Times New Roman" w:eastAsia="黑体" w:cs="Times New Roman"/>
          <w:b w:val="0"/>
          <w:lang w:eastAsia="zh-CN"/>
        </w:rPr>
        <w:t>八、</w:t>
      </w:r>
      <w:r>
        <w:rPr>
          <w:rFonts w:ascii="Times New Roman" w:hAnsi="Times New Roman" w:eastAsia="黑体" w:cs="Times New Roman"/>
          <w:b w:val="0"/>
        </w:rPr>
        <w:t>对策建议</w:t>
      </w:r>
    </w:p>
    <w:p>
      <w:pPr>
        <w:pStyle w:val="35"/>
        <w:pageBreakBefore w:val="0"/>
        <w:kinsoku/>
        <w:wordWrap/>
        <w:overflowPunct/>
        <w:topLinePunct w:val="0"/>
        <w:autoSpaceDE/>
        <w:autoSpaceDN/>
        <w:bidi w:val="0"/>
        <w:spacing w:line="600" w:lineRule="exact"/>
        <w:ind w:firstLine="643" w:firstLineChars="200"/>
        <w:rPr>
          <w:rFonts w:ascii="Times New Roman" w:hAnsi="Times New Roman" w:eastAsia="楷体" w:cs="Times New Roman"/>
        </w:rPr>
      </w:pPr>
      <w:r>
        <w:rPr>
          <w:rFonts w:ascii="Times New Roman" w:hAnsi="Times New Roman" w:eastAsia="楷体_GB2312" w:cs="Times New Roman"/>
          <w:kern w:val="2"/>
        </w:rPr>
        <w:t>（一）</w:t>
      </w:r>
      <w:r>
        <w:rPr>
          <w:rFonts w:ascii="Times New Roman" w:hAnsi="Times New Roman" w:eastAsia="楷体" w:cs="Times New Roman"/>
        </w:rPr>
        <w:t>发展对策</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学校根据国家全面贯彻落实党的十九大</w:t>
      </w:r>
      <w:r>
        <w:rPr>
          <w:rFonts w:hint="eastAsia" w:ascii="Times New Roman" w:hAnsi="Times New Roman" w:eastAsia="仿宋_GB2312" w:cs="Times New Roman"/>
          <w:kern w:val="0"/>
          <w:sz w:val="32"/>
          <w:szCs w:val="32"/>
        </w:rPr>
        <w:t>、全国教育大会及</w:t>
      </w:r>
      <w:r>
        <w:rPr>
          <w:rFonts w:ascii="Times New Roman" w:hAnsi="Times New Roman" w:eastAsia="仿宋_GB2312" w:cs="Times New Roman"/>
          <w:kern w:val="0"/>
          <w:sz w:val="32"/>
          <w:szCs w:val="32"/>
        </w:rPr>
        <w:t>《国家中长期教育改革和发展规划纲要2010-2020》等文件精神，探索开展互联网+ 继续教育的教学管理平台建设，针对学校继续教育信息化起步较晚、经验不足的问题，下一步将投入经费进行信息管理平台建设，为学生提供便捷、高效的服务。需要创新传统的招生宣传形式，加强新技术在招生宣传中的应用，通过微信、公众号等方式扩大宣传对象。</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1.提高认识。十九大报告提出， </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办好继续教育，加快建设学习型社会</w:t>
      </w:r>
      <w:r>
        <w:rPr>
          <w:rFonts w:ascii="Times New Roman" w:hAnsi="Times New Roman" w:eastAsia="微软雅黑" w:cs="Times New Roman"/>
          <w:sz w:val="32"/>
          <w:szCs w:val="32"/>
          <w:shd w:val="clear" w:color="auto" w:fill="FFFFFF"/>
        </w:rPr>
        <w:t>，</w:t>
      </w:r>
      <w:r>
        <w:rPr>
          <w:rFonts w:ascii="Times New Roman" w:hAnsi="Times New Roman" w:eastAsia="仿宋_GB2312" w:cs="Times New Roman"/>
          <w:kern w:val="0"/>
          <w:sz w:val="32"/>
          <w:szCs w:val="32"/>
        </w:rPr>
        <w:t>大力提高国民素质。</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完善职业教育和培训体系，深化产教融合、校企合作</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突出彰显了继续教育在建设学习型社会进程中的重要地位，也为中国教育事业发展指明了前进的方向。继续教育在构建终身教育、学习型社会中发挥着重要的作用，具有强大的社会价值与服务功能。对学校继续教育的认识不能仅以学校创收和简单的社会服务功能为目的，要真正把继续教育纳入学校人才培养体系，并进一步加强管理，促使其健康发展。</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2.推动改革。全力打造信息化教学平台建设，通过线上、线下混合式教学模式改革，有效解决学生</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工学矛盾</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，为学生提供更为优质的教学服务，确保教学质量不断提高。</w:t>
      </w:r>
    </w:p>
    <w:p>
      <w:pPr>
        <w:pageBreakBefore w:val="0"/>
        <w:widowControl/>
        <w:kinsoku/>
        <w:wordWrap/>
        <w:overflowPunct/>
        <w:topLinePunct w:val="0"/>
        <w:autoSpaceDE/>
        <w:autoSpaceDN/>
        <w:bidi w:val="0"/>
        <w:adjustRightInd w:val="0"/>
        <w:snapToGrid w:val="0"/>
        <w:spacing w:line="600" w:lineRule="exact"/>
        <w:ind w:firstLine="640" w:firstLineChars="200"/>
        <w:jc w:val="left"/>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3.丰富资源。紧密跟踪国家发展需要和行业发展需求，适时调整专业设置，开办新专业，形成专兼职相结合的师资队伍，完成继续教育系列教材和资源的建设工作。</w:t>
      </w:r>
    </w:p>
    <w:p>
      <w:pPr>
        <w:pageBreakBefore w:val="0"/>
        <w:widowControl/>
        <w:kinsoku/>
        <w:wordWrap/>
        <w:overflowPunct/>
        <w:topLinePunct w:val="0"/>
        <w:autoSpaceDE/>
        <w:autoSpaceDN/>
        <w:bidi w:val="0"/>
        <w:adjustRightInd w:val="0"/>
        <w:snapToGrid w:val="0"/>
        <w:spacing w:line="600" w:lineRule="exact"/>
        <w:ind w:firstLine="640" w:firstLineChars="200"/>
        <w:jc w:val="left"/>
        <w:textAlignment w:val="center"/>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扩大规模。按照稳定发展高等学</w:t>
      </w:r>
      <w:r>
        <w:rPr>
          <w:rFonts w:hint="eastAsia" w:ascii="Times New Roman" w:hAnsi="Times New Roman" w:eastAsia="仿宋_GB2312" w:cs="Times New Roman"/>
          <w:kern w:val="0"/>
          <w:sz w:val="32"/>
          <w:szCs w:val="32"/>
        </w:rPr>
        <w:t>历继续</w:t>
      </w:r>
      <w:r>
        <w:rPr>
          <w:rFonts w:ascii="Times New Roman" w:hAnsi="Times New Roman" w:eastAsia="仿宋_GB2312" w:cs="Times New Roman"/>
          <w:kern w:val="0"/>
          <w:sz w:val="32"/>
          <w:szCs w:val="32"/>
        </w:rPr>
        <w:t>教育，大力发展非学历教育的方针，不断探索校校、校地、校企联合办学新模式，努力扩大各类办学规模，加大对社会发展的贡献度</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0"/>
          <w:szCs w:val="30"/>
        </w:rPr>
        <w:t xml:space="preserve">                       </w:t>
      </w:r>
    </w:p>
    <w:p>
      <w:pPr>
        <w:pStyle w:val="35"/>
        <w:pageBreakBefore w:val="0"/>
        <w:kinsoku/>
        <w:wordWrap/>
        <w:overflowPunct/>
        <w:topLinePunct w:val="0"/>
        <w:autoSpaceDE/>
        <w:autoSpaceDN/>
        <w:bidi w:val="0"/>
        <w:spacing w:line="600" w:lineRule="exact"/>
        <w:ind w:firstLine="643" w:firstLineChars="200"/>
        <w:rPr>
          <w:rFonts w:ascii="Times New Roman" w:hAnsi="Times New Roman" w:cs="Times New Roman"/>
        </w:rPr>
      </w:pPr>
      <w:r>
        <w:rPr>
          <w:rFonts w:ascii="Times New Roman" w:hAnsi="Times New Roman" w:eastAsia="楷体_GB2312" w:cs="Times New Roman"/>
          <w:kern w:val="2"/>
        </w:rPr>
        <w:t>（二）</w:t>
      </w:r>
      <w:r>
        <w:rPr>
          <w:rFonts w:ascii="Times New Roman" w:hAnsi="Times New Roman" w:eastAsia="楷体" w:cs="Times New Roman"/>
        </w:rPr>
        <w:t>政策建议</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建议高度重视和积极促进高等学历继续教育与职业教育的融合，可以成功地走出协同创新、互利共赢的新路。职业教育与高等学历继续教育之间的共同点最多、契合度最高。其双方的深度嫁接、互相借力，就落实十九大报告关于</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完善职业教育和培训体系，深化产教融合、校企合作</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决定精神，可望达到</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双赢</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的完美结果。</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建议不失时机加快建立国家学分认证制度，这是</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办好继续教育，加快建设学习型社会，大力提高国民素质</w:t>
      </w:r>
      <w:r>
        <w:rPr>
          <w:rFonts w:hint="eastAsia" w:ascii="Times New Roman" w:hAnsi="Times New Roman" w:eastAsia="仿宋_GB2312" w:cs="Times New Roman"/>
          <w:kern w:val="0"/>
          <w:sz w:val="32"/>
          <w:szCs w:val="32"/>
        </w:rPr>
        <w:t>”</w:t>
      </w:r>
      <w:r>
        <w:rPr>
          <w:rFonts w:hint="eastAsia" w:ascii="Times New Roman" w:hAnsi="Times New Roman" w:eastAsia="仿宋_GB2312" w:cs="仿宋_GB2312"/>
          <w:kern w:val="0"/>
          <w:sz w:val="32"/>
          <w:szCs w:val="32"/>
        </w:rPr>
        <w:t>的核心制度保障。党的十八届三中、五中全会曾经明确提出，建设学分认证、累积和转换即学分银行制度。这符合国际经验和普遍做法，是全面牵动教育领域综合改革向纵深发展、从源头上确保和提升继续教育的质量。</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仿宋_GB2312"/>
          <w:kern w:val="0"/>
          <w:sz w:val="32"/>
          <w:szCs w:val="32"/>
        </w:rPr>
        <w:t>建议最大限度的放宽对继续教育办学的各类限制，包括地域限制、专业限制、办学层次限制等，明确高校作为高等学历继续教育办学主体地位，建立继续教育办学质量监督管理保障体系，实现高等学历继续教育的开放办学、自主办学、优质办学。</w:t>
      </w:r>
    </w:p>
    <w:p>
      <w:pPr>
        <w:pageBreakBefore w:val="0"/>
        <w:widowControl/>
        <w:kinsoku/>
        <w:wordWrap/>
        <w:overflowPunct/>
        <w:topLinePunct w:val="0"/>
        <w:autoSpaceDE/>
        <w:autoSpaceDN/>
        <w:bidi w:val="0"/>
        <w:adjustRightInd w:val="0"/>
        <w:snapToGrid w:val="0"/>
        <w:spacing w:line="600" w:lineRule="exact"/>
        <w:ind w:firstLine="640"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建议放宽继续教育人力资源管理，允许采取购买服务、劳务派遣等方式扩充管理人员队伍，强化培训全过程各环节掌控力度，切实保障继续教育办学质量。</w:t>
      </w:r>
    </w:p>
    <w:p>
      <w:pPr>
        <w:pageBreakBefore w:val="0"/>
        <w:kinsoku/>
        <w:wordWrap/>
        <w:overflowPunct/>
        <w:topLinePunct w:val="0"/>
        <w:autoSpaceDE/>
        <w:autoSpaceDN/>
        <w:bidi w:val="0"/>
        <w:spacing w:line="600" w:lineRule="exact"/>
        <w:rPr>
          <w:rFonts w:ascii="Times New Roman" w:hAnsi="Times New Roman" w:eastAsia="仿宋_GB2312" w:cs="Times New Roman"/>
          <w:kern w:val="0"/>
          <w:sz w:val="32"/>
          <w:szCs w:val="32"/>
        </w:rPr>
      </w:pPr>
    </w:p>
    <w:sectPr>
      <w:footerReference r:id="rId4" w:type="first"/>
      <w:footerReference r:id="rId3" w:type="default"/>
      <w:pgSz w:w="11900" w:h="16840"/>
      <w:pgMar w:top="1418" w:right="1304" w:bottom="1418" w:left="1588" w:header="851" w:footer="992" w:gutter="0"/>
      <w:pgNumType w:start="0"/>
      <w:cols w:space="720" w:num="1"/>
      <w:titlePg/>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2517543"/>
    </w:sdtPr>
    <w:sdtContent>
      <w:p>
        <w:pPr>
          <w:pStyle w:val="9"/>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53D1C"/>
    <w:multiLevelType w:val="singleLevel"/>
    <w:tmpl w:val="F5B53D1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20"/>
  <w:drawingGridVerticalSpacing w:val="42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I2M2FhYjM3MmM0N2Y0ZjEyOWVjYjhlZWVlNjgxYTUifQ=="/>
  </w:docVars>
  <w:rsids>
    <w:rsidRoot w:val="00903850"/>
    <w:rsid w:val="00000DB8"/>
    <w:rsid w:val="00001A39"/>
    <w:rsid w:val="00005897"/>
    <w:rsid w:val="00005C2A"/>
    <w:rsid w:val="000068DE"/>
    <w:rsid w:val="00006D30"/>
    <w:rsid w:val="000108F4"/>
    <w:rsid w:val="00012288"/>
    <w:rsid w:val="00013B73"/>
    <w:rsid w:val="0001722D"/>
    <w:rsid w:val="000220BF"/>
    <w:rsid w:val="00022A62"/>
    <w:rsid w:val="00023352"/>
    <w:rsid w:val="00023D9E"/>
    <w:rsid w:val="00027688"/>
    <w:rsid w:val="0003091F"/>
    <w:rsid w:val="00037049"/>
    <w:rsid w:val="00041478"/>
    <w:rsid w:val="000503F2"/>
    <w:rsid w:val="00052EB8"/>
    <w:rsid w:val="0005504F"/>
    <w:rsid w:val="00055406"/>
    <w:rsid w:val="00057E91"/>
    <w:rsid w:val="00065B63"/>
    <w:rsid w:val="0006779C"/>
    <w:rsid w:val="00071D1F"/>
    <w:rsid w:val="00075F34"/>
    <w:rsid w:val="000764FC"/>
    <w:rsid w:val="00076E6B"/>
    <w:rsid w:val="000775F9"/>
    <w:rsid w:val="00080B5E"/>
    <w:rsid w:val="00082BF5"/>
    <w:rsid w:val="000830F3"/>
    <w:rsid w:val="00084D9D"/>
    <w:rsid w:val="00084FBB"/>
    <w:rsid w:val="00090005"/>
    <w:rsid w:val="0009019A"/>
    <w:rsid w:val="000A507C"/>
    <w:rsid w:val="000A5A63"/>
    <w:rsid w:val="000B4D3C"/>
    <w:rsid w:val="000B5350"/>
    <w:rsid w:val="000C079D"/>
    <w:rsid w:val="000C086B"/>
    <w:rsid w:val="000C219F"/>
    <w:rsid w:val="000C5B4C"/>
    <w:rsid w:val="000E14BA"/>
    <w:rsid w:val="000E528E"/>
    <w:rsid w:val="000F0095"/>
    <w:rsid w:val="000F3610"/>
    <w:rsid w:val="001003B3"/>
    <w:rsid w:val="0010049F"/>
    <w:rsid w:val="00100A94"/>
    <w:rsid w:val="00100B35"/>
    <w:rsid w:val="0010395B"/>
    <w:rsid w:val="00105C0A"/>
    <w:rsid w:val="00107210"/>
    <w:rsid w:val="001074F1"/>
    <w:rsid w:val="00107D01"/>
    <w:rsid w:val="001108C8"/>
    <w:rsid w:val="00110DF6"/>
    <w:rsid w:val="001111D0"/>
    <w:rsid w:val="0011249D"/>
    <w:rsid w:val="0011535A"/>
    <w:rsid w:val="00115F04"/>
    <w:rsid w:val="001317C1"/>
    <w:rsid w:val="001334D0"/>
    <w:rsid w:val="001349F3"/>
    <w:rsid w:val="001352F2"/>
    <w:rsid w:val="001356A5"/>
    <w:rsid w:val="00135907"/>
    <w:rsid w:val="00135967"/>
    <w:rsid w:val="00137837"/>
    <w:rsid w:val="001430FE"/>
    <w:rsid w:val="00143F5A"/>
    <w:rsid w:val="00144920"/>
    <w:rsid w:val="00144BCF"/>
    <w:rsid w:val="00146619"/>
    <w:rsid w:val="00150BD2"/>
    <w:rsid w:val="001522A0"/>
    <w:rsid w:val="001529E0"/>
    <w:rsid w:val="001533D2"/>
    <w:rsid w:val="001557BE"/>
    <w:rsid w:val="00156868"/>
    <w:rsid w:val="00161BB0"/>
    <w:rsid w:val="001627F7"/>
    <w:rsid w:val="0016419C"/>
    <w:rsid w:val="001667E8"/>
    <w:rsid w:val="00166DBD"/>
    <w:rsid w:val="0017192B"/>
    <w:rsid w:val="00175597"/>
    <w:rsid w:val="00175BDA"/>
    <w:rsid w:val="001769B7"/>
    <w:rsid w:val="00182256"/>
    <w:rsid w:val="00182401"/>
    <w:rsid w:val="00183F86"/>
    <w:rsid w:val="00184055"/>
    <w:rsid w:val="001840F9"/>
    <w:rsid w:val="0018668A"/>
    <w:rsid w:val="0018750D"/>
    <w:rsid w:val="00192EC7"/>
    <w:rsid w:val="0019342F"/>
    <w:rsid w:val="0019464C"/>
    <w:rsid w:val="00196942"/>
    <w:rsid w:val="00197882"/>
    <w:rsid w:val="001A1181"/>
    <w:rsid w:val="001A28E1"/>
    <w:rsid w:val="001A3196"/>
    <w:rsid w:val="001A4251"/>
    <w:rsid w:val="001A7BE0"/>
    <w:rsid w:val="001B22E5"/>
    <w:rsid w:val="001B5A5B"/>
    <w:rsid w:val="001C0D7C"/>
    <w:rsid w:val="001C637A"/>
    <w:rsid w:val="001C763C"/>
    <w:rsid w:val="001D4A3A"/>
    <w:rsid w:val="001D52B3"/>
    <w:rsid w:val="001D681C"/>
    <w:rsid w:val="001D69E8"/>
    <w:rsid w:val="001E1099"/>
    <w:rsid w:val="001E1798"/>
    <w:rsid w:val="001E34A6"/>
    <w:rsid w:val="001E4F79"/>
    <w:rsid w:val="001E62BC"/>
    <w:rsid w:val="001E62CD"/>
    <w:rsid w:val="001F12C1"/>
    <w:rsid w:val="001F1464"/>
    <w:rsid w:val="001F229E"/>
    <w:rsid w:val="001F4066"/>
    <w:rsid w:val="001F6A6B"/>
    <w:rsid w:val="00200E57"/>
    <w:rsid w:val="00207EC1"/>
    <w:rsid w:val="0021108C"/>
    <w:rsid w:val="00211965"/>
    <w:rsid w:val="00212395"/>
    <w:rsid w:val="0021557C"/>
    <w:rsid w:val="00216073"/>
    <w:rsid w:val="0021691D"/>
    <w:rsid w:val="002177B9"/>
    <w:rsid w:val="00220586"/>
    <w:rsid w:val="00220AF5"/>
    <w:rsid w:val="00221647"/>
    <w:rsid w:val="002247A9"/>
    <w:rsid w:val="00227983"/>
    <w:rsid w:val="002335C8"/>
    <w:rsid w:val="00236777"/>
    <w:rsid w:val="00237B27"/>
    <w:rsid w:val="00244246"/>
    <w:rsid w:val="00244339"/>
    <w:rsid w:val="00246C3B"/>
    <w:rsid w:val="00247C02"/>
    <w:rsid w:val="0025097E"/>
    <w:rsid w:val="0025193C"/>
    <w:rsid w:val="0025325E"/>
    <w:rsid w:val="00257ED0"/>
    <w:rsid w:val="002633DE"/>
    <w:rsid w:val="0026430A"/>
    <w:rsid w:val="002677D7"/>
    <w:rsid w:val="00270831"/>
    <w:rsid w:val="00271072"/>
    <w:rsid w:val="00273BDF"/>
    <w:rsid w:val="00277A3D"/>
    <w:rsid w:val="002805C1"/>
    <w:rsid w:val="00280CAC"/>
    <w:rsid w:val="00290EA4"/>
    <w:rsid w:val="002966A0"/>
    <w:rsid w:val="00296DEE"/>
    <w:rsid w:val="002A12A7"/>
    <w:rsid w:val="002A3C8D"/>
    <w:rsid w:val="002B19F9"/>
    <w:rsid w:val="002B1EDE"/>
    <w:rsid w:val="002B568E"/>
    <w:rsid w:val="002B5ADA"/>
    <w:rsid w:val="002C09E9"/>
    <w:rsid w:val="002C7BDC"/>
    <w:rsid w:val="002D3BF8"/>
    <w:rsid w:val="002D5762"/>
    <w:rsid w:val="002D687C"/>
    <w:rsid w:val="002E6552"/>
    <w:rsid w:val="002E7482"/>
    <w:rsid w:val="002E78BB"/>
    <w:rsid w:val="002F0CE4"/>
    <w:rsid w:val="002F510E"/>
    <w:rsid w:val="00306733"/>
    <w:rsid w:val="00313455"/>
    <w:rsid w:val="003179C7"/>
    <w:rsid w:val="003214DA"/>
    <w:rsid w:val="00332842"/>
    <w:rsid w:val="00332DCD"/>
    <w:rsid w:val="00333EC9"/>
    <w:rsid w:val="00335598"/>
    <w:rsid w:val="003423CD"/>
    <w:rsid w:val="00343E6E"/>
    <w:rsid w:val="00346502"/>
    <w:rsid w:val="00357322"/>
    <w:rsid w:val="00365158"/>
    <w:rsid w:val="00370B45"/>
    <w:rsid w:val="00376ADD"/>
    <w:rsid w:val="003774E0"/>
    <w:rsid w:val="003777BC"/>
    <w:rsid w:val="00380F08"/>
    <w:rsid w:val="00385690"/>
    <w:rsid w:val="00391A4F"/>
    <w:rsid w:val="003943DB"/>
    <w:rsid w:val="003A139D"/>
    <w:rsid w:val="003A38C8"/>
    <w:rsid w:val="003A4C97"/>
    <w:rsid w:val="003A7C5F"/>
    <w:rsid w:val="003B0545"/>
    <w:rsid w:val="003B20A6"/>
    <w:rsid w:val="003B300B"/>
    <w:rsid w:val="003B345B"/>
    <w:rsid w:val="003B66A6"/>
    <w:rsid w:val="003B7C55"/>
    <w:rsid w:val="003C14A2"/>
    <w:rsid w:val="003C173D"/>
    <w:rsid w:val="003C4E4C"/>
    <w:rsid w:val="003C5277"/>
    <w:rsid w:val="003C611C"/>
    <w:rsid w:val="003C77CB"/>
    <w:rsid w:val="003D121E"/>
    <w:rsid w:val="003D1512"/>
    <w:rsid w:val="003D2299"/>
    <w:rsid w:val="003D39EB"/>
    <w:rsid w:val="003D5F2B"/>
    <w:rsid w:val="003D6302"/>
    <w:rsid w:val="003D75D6"/>
    <w:rsid w:val="003E3AD0"/>
    <w:rsid w:val="003E711E"/>
    <w:rsid w:val="003F2CCA"/>
    <w:rsid w:val="003F6A7B"/>
    <w:rsid w:val="00402B65"/>
    <w:rsid w:val="00402E2B"/>
    <w:rsid w:val="004030F5"/>
    <w:rsid w:val="00403F01"/>
    <w:rsid w:val="00405D03"/>
    <w:rsid w:val="0040633A"/>
    <w:rsid w:val="004077D5"/>
    <w:rsid w:val="004101DC"/>
    <w:rsid w:val="004128B2"/>
    <w:rsid w:val="0041321F"/>
    <w:rsid w:val="004152A0"/>
    <w:rsid w:val="004211AF"/>
    <w:rsid w:val="00426EF7"/>
    <w:rsid w:val="004273E5"/>
    <w:rsid w:val="0042766B"/>
    <w:rsid w:val="00432CEB"/>
    <w:rsid w:val="00433988"/>
    <w:rsid w:val="00434C8A"/>
    <w:rsid w:val="00435A49"/>
    <w:rsid w:val="004372A3"/>
    <w:rsid w:val="004373D5"/>
    <w:rsid w:val="0044198F"/>
    <w:rsid w:val="00445848"/>
    <w:rsid w:val="00446850"/>
    <w:rsid w:val="00452445"/>
    <w:rsid w:val="0045501E"/>
    <w:rsid w:val="00455330"/>
    <w:rsid w:val="00455E48"/>
    <w:rsid w:val="00460964"/>
    <w:rsid w:val="00461A30"/>
    <w:rsid w:val="00467415"/>
    <w:rsid w:val="0047178E"/>
    <w:rsid w:val="0047194B"/>
    <w:rsid w:val="004729E6"/>
    <w:rsid w:val="004751B2"/>
    <w:rsid w:val="004759EC"/>
    <w:rsid w:val="00480A6F"/>
    <w:rsid w:val="00482B35"/>
    <w:rsid w:val="00485DE7"/>
    <w:rsid w:val="00487E84"/>
    <w:rsid w:val="004900EF"/>
    <w:rsid w:val="00491E88"/>
    <w:rsid w:val="00492CA7"/>
    <w:rsid w:val="00497EE0"/>
    <w:rsid w:val="004A0440"/>
    <w:rsid w:val="004A2107"/>
    <w:rsid w:val="004A24C5"/>
    <w:rsid w:val="004A3D9A"/>
    <w:rsid w:val="004A7399"/>
    <w:rsid w:val="004B1632"/>
    <w:rsid w:val="004B4296"/>
    <w:rsid w:val="004B4674"/>
    <w:rsid w:val="004B4C00"/>
    <w:rsid w:val="004B534C"/>
    <w:rsid w:val="004B5F63"/>
    <w:rsid w:val="004B675B"/>
    <w:rsid w:val="004C0AA1"/>
    <w:rsid w:val="004C385D"/>
    <w:rsid w:val="004C4A42"/>
    <w:rsid w:val="004C56C7"/>
    <w:rsid w:val="004C6DC5"/>
    <w:rsid w:val="004D074F"/>
    <w:rsid w:val="004D3C7E"/>
    <w:rsid w:val="004D67E2"/>
    <w:rsid w:val="004E1662"/>
    <w:rsid w:val="004E32D8"/>
    <w:rsid w:val="004E5397"/>
    <w:rsid w:val="004F2B36"/>
    <w:rsid w:val="004F2C99"/>
    <w:rsid w:val="004F44FC"/>
    <w:rsid w:val="004F71D3"/>
    <w:rsid w:val="004F77C0"/>
    <w:rsid w:val="0050206A"/>
    <w:rsid w:val="005020DA"/>
    <w:rsid w:val="00502400"/>
    <w:rsid w:val="00504615"/>
    <w:rsid w:val="00505BDB"/>
    <w:rsid w:val="005109BD"/>
    <w:rsid w:val="0051309D"/>
    <w:rsid w:val="0051447E"/>
    <w:rsid w:val="00514E22"/>
    <w:rsid w:val="00515853"/>
    <w:rsid w:val="00517191"/>
    <w:rsid w:val="00517C43"/>
    <w:rsid w:val="0053033A"/>
    <w:rsid w:val="005359B4"/>
    <w:rsid w:val="00540C77"/>
    <w:rsid w:val="005423F4"/>
    <w:rsid w:val="005425CA"/>
    <w:rsid w:val="005446FD"/>
    <w:rsid w:val="005447D0"/>
    <w:rsid w:val="005518A6"/>
    <w:rsid w:val="005529A8"/>
    <w:rsid w:val="005545E1"/>
    <w:rsid w:val="00554E43"/>
    <w:rsid w:val="00560D12"/>
    <w:rsid w:val="005622F9"/>
    <w:rsid w:val="005637BC"/>
    <w:rsid w:val="00565E6B"/>
    <w:rsid w:val="005848A4"/>
    <w:rsid w:val="005849D1"/>
    <w:rsid w:val="0058527D"/>
    <w:rsid w:val="00587B47"/>
    <w:rsid w:val="005912D1"/>
    <w:rsid w:val="00592ADD"/>
    <w:rsid w:val="00597219"/>
    <w:rsid w:val="005A0C3C"/>
    <w:rsid w:val="005A1ED8"/>
    <w:rsid w:val="005A3A96"/>
    <w:rsid w:val="005A4C54"/>
    <w:rsid w:val="005A5C0B"/>
    <w:rsid w:val="005A7B34"/>
    <w:rsid w:val="005B0048"/>
    <w:rsid w:val="005B3BD2"/>
    <w:rsid w:val="005B4451"/>
    <w:rsid w:val="005B445A"/>
    <w:rsid w:val="005B4623"/>
    <w:rsid w:val="005B5304"/>
    <w:rsid w:val="005B760B"/>
    <w:rsid w:val="005C0637"/>
    <w:rsid w:val="005C2B34"/>
    <w:rsid w:val="005C2F38"/>
    <w:rsid w:val="005D0578"/>
    <w:rsid w:val="005D183B"/>
    <w:rsid w:val="005D5597"/>
    <w:rsid w:val="005E2D08"/>
    <w:rsid w:val="005E5C37"/>
    <w:rsid w:val="005F2347"/>
    <w:rsid w:val="005F60DF"/>
    <w:rsid w:val="00604A9B"/>
    <w:rsid w:val="006055DC"/>
    <w:rsid w:val="00606FA3"/>
    <w:rsid w:val="00611422"/>
    <w:rsid w:val="00616538"/>
    <w:rsid w:val="006169F6"/>
    <w:rsid w:val="00617861"/>
    <w:rsid w:val="00617C7F"/>
    <w:rsid w:val="00620473"/>
    <w:rsid w:val="00620B4B"/>
    <w:rsid w:val="00624FD7"/>
    <w:rsid w:val="00627291"/>
    <w:rsid w:val="006277BF"/>
    <w:rsid w:val="006335D4"/>
    <w:rsid w:val="00634CBF"/>
    <w:rsid w:val="006412A6"/>
    <w:rsid w:val="00641ADC"/>
    <w:rsid w:val="00647946"/>
    <w:rsid w:val="0065357C"/>
    <w:rsid w:val="0065421F"/>
    <w:rsid w:val="00660B12"/>
    <w:rsid w:val="00662F96"/>
    <w:rsid w:val="00665C91"/>
    <w:rsid w:val="006679D2"/>
    <w:rsid w:val="00671052"/>
    <w:rsid w:val="00672B7F"/>
    <w:rsid w:val="0067307D"/>
    <w:rsid w:val="006736D9"/>
    <w:rsid w:val="006765EF"/>
    <w:rsid w:val="006770AF"/>
    <w:rsid w:val="006839CB"/>
    <w:rsid w:val="006905E6"/>
    <w:rsid w:val="00692803"/>
    <w:rsid w:val="0069301F"/>
    <w:rsid w:val="006931D4"/>
    <w:rsid w:val="00693552"/>
    <w:rsid w:val="0069396F"/>
    <w:rsid w:val="00694846"/>
    <w:rsid w:val="00695F41"/>
    <w:rsid w:val="00696806"/>
    <w:rsid w:val="00697D7E"/>
    <w:rsid w:val="006A1016"/>
    <w:rsid w:val="006A102E"/>
    <w:rsid w:val="006A10B0"/>
    <w:rsid w:val="006A137E"/>
    <w:rsid w:val="006A18A5"/>
    <w:rsid w:val="006A4A5E"/>
    <w:rsid w:val="006B0E78"/>
    <w:rsid w:val="006B32B1"/>
    <w:rsid w:val="006B6C2A"/>
    <w:rsid w:val="006C00E6"/>
    <w:rsid w:val="006C14D9"/>
    <w:rsid w:val="006C2010"/>
    <w:rsid w:val="006C692D"/>
    <w:rsid w:val="006D1B56"/>
    <w:rsid w:val="006D2890"/>
    <w:rsid w:val="006D2BA0"/>
    <w:rsid w:val="006D4E88"/>
    <w:rsid w:val="006E053E"/>
    <w:rsid w:val="006E2C58"/>
    <w:rsid w:val="006E5EB6"/>
    <w:rsid w:val="006E7EA1"/>
    <w:rsid w:val="006F0986"/>
    <w:rsid w:val="006F1EF9"/>
    <w:rsid w:val="006F686F"/>
    <w:rsid w:val="006F72B3"/>
    <w:rsid w:val="00705B6F"/>
    <w:rsid w:val="007068FE"/>
    <w:rsid w:val="00711093"/>
    <w:rsid w:val="007112F9"/>
    <w:rsid w:val="00713F79"/>
    <w:rsid w:val="00716EA2"/>
    <w:rsid w:val="007172DD"/>
    <w:rsid w:val="00720995"/>
    <w:rsid w:val="007242B2"/>
    <w:rsid w:val="007343B4"/>
    <w:rsid w:val="0074190E"/>
    <w:rsid w:val="00742C48"/>
    <w:rsid w:val="00745639"/>
    <w:rsid w:val="00747397"/>
    <w:rsid w:val="007505EF"/>
    <w:rsid w:val="00751447"/>
    <w:rsid w:val="00754E5E"/>
    <w:rsid w:val="007552AF"/>
    <w:rsid w:val="00757259"/>
    <w:rsid w:val="007627E7"/>
    <w:rsid w:val="00762B54"/>
    <w:rsid w:val="0076505F"/>
    <w:rsid w:val="00767DEC"/>
    <w:rsid w:val="007704BE"/>
    <w:rsid w:val="00772626"/>
    <w:rsid w:val="00772A37"/>
    <w:rsid w:val="007757CD"/>
    <w:rsid w:val="00777711"/>
    <w:rsid w:val="007821CC"/>
    <w:rsid w:val="007865B4"/>
    <w:rsid w:val="00792F39"/>
    <w:rsid w:val="007A0D8A"/>
    <w:rsid w:val="007A28E8"/>
    <w:rsid w:val="007A63F3"/>
    <w:rsid w:val="007A6ADA"/>
    <w:rsid w:val="007B0E77"/>
    <w:rsid w:val="007B1F05"/>
    <w:rsid w:val="007B2FE8"/>
    <w:rsid w:val="007B66C2"/>
    <w:rsid w:val="007B6E72"/>
    <w:rsid w:val="007C1E13"/>
    <w:rsid w:val="007C254F"/>
    <w:rsid w:val="007C3349"/>
    <w:rsid w:val="007C526E"/>
    <w:rsid w:val="007C6A26"/>
    <w:rsid w:val="007D7BEB"/>
    <w:rsid w:val="007E0309"/>
    <w:rsid w:val="007E0505"/>
    <w:rsid w:val="007E26EF"/>
    <w:rsid w:val="007E43B2"/>
    <w:rsid w:val="007E6A98"/>
    <w:rsid w:val="007E7EDC"/>
    <w:rsid w:val="007F25E6"/>
    <w:rsid w:val="007F2FE1"/>
    <w:rsid w:val="007F4FBE"/>
    <w:rsid w:val="007F77DD"/>
    <w:rsid w:val="008000A6"/>
    <w:rsid w:val="00802445"/>
    <w:rsid w:val="0080371F"/>
    <w:rsid w:val="00812653"/>
    <w:rsid w:val="00814D29"/>
    <w:rsid w:val="00815A90"/>
    <w:rsid w:val="008177AC"/>
    <w:rsid w:val="00817F6A"/>
    <w:rsid w:val="008206DB"/>
    <w:rsid w:val="00824AA2"/>
    <w:rsid w:val="00826B5E"/>
    <w:rsid w:val="00832106"/>
    <w:rsid w:val="00832CD9"/>
    <w:rsid w:val="00833C64"/>
    <w:rsid w:val="00837B8E"/>
    <w:rsid w:val="00840348"/>
    <w:rsid w:val="008412E4"/>
    <w:rsid w:val="00842B4B"/>
    <w:rsid w:val="00844299"/>
    <w:rsid w:val="008446B9"/>
    <w:rsid w:val="00845C3C"/>
    <w:rsid w:val="00845E61"/>
    <w:rsid w:val="008463FB"/>
    <w:rsid w:val="00850F12"/>
    <w:rsid w:val="00852D1A"/>
    <w:rsid w:val="0085349D"/>
    <w:rsid w:val="00854C99"/>
    <w:rsid w:val="0085528B"/>
    <w:rsid w:val="00855ED6"/>
    <w:rsid w:val="00855FCE"/>
    <w:rsid w:val="008568F5"/>
    <w:rsid w:val="00857F9A"/>
    <w:rsid w:val="00861CB9"/>
    <w:rsid w:val="00861F56"/>
    <w:rsid w:val="00865C60"/>
    <w:rsid w:val="0086770F"/>
    <w:rsid w:val="00870AEA"/>
    <w:rsid w:val="00871FBE"/>
    <w:rsid w:val="00873B59"/>
    <w:rsid w:val="00875587"/>
    <w:rsid w:val="00877282"/>
    <w:rsid w:val="00877CBB"/>
    <w:rsid w:val="00881E38"/>
    <w:rsid w:val="00882151"/>
    <w:rsid w:val="008853EA"/>
    <w:rsid w:val="00891F21"/>
    <w:rsid w:val="00892DB6"/>
    <w:rsid w:val="00893FF6"/>
    <w:rsid w:val="00894A6B"/>
    <w:rsid w:val="00897B82"/>
    <w:rsid w:val="00897F34"/>
    <w:rsid w:val="008A1F0A"/>
    <w:rsid w:val="008A374D"/>
    <w:rsid w:val="008A50FB"/>
    <w:rsid w:val="008B2B41"/>
    <w:rsid w:val="008C3C68"/>
    <w:rsid w:val="008C4A54"/>
    <w:rsid w:val="008C4AD2"/>
    <w:rsid w:val="008D1444"/>
    <w:rsid w:val="008D61C7"/>
    <w:rsid w:val="008D6D50"/>
    <w:rsid w:val="008D7011"/>
    <w:rsid w:val="008D75EE"/>
    <w:rsid w:val="008D7B4E"/>
    <w:rsid w:val="008E0949"/>
    <w:rsid w:val="008E3AAE"/>
    <w:rsid w:val="008F031D"/>
    <w:rsid w:val="008F0EAF"/>
    <w:rsid w:val="008F1EF8"/>
    <w:rsid w:val="008F2C0C"/>
    <w:rsid w:val="009027CA"/>
    <w:rsid w:val="00903850"/>
    <w:rsid w:val="009040EF"/>
    <w:rsid w:val="00904C65"/>
    <w:rsid w:val="00917EE9"/>
    <w:rsid w:val="00922235"/>
    <w:rsid w:val="00924F06"/>
    <w:rsid w:val="00930ADA"/>
    <w:rsid w:val="00930D52"/>
    <w:rsid w:val="00932248"/>
    <w:rsid w:val="00932B9E"/>
    <w:rsid w:val="0093333F"/>
    <w:rsid w:val="00934D71"/>
    <w:rsid w:val="009377F9"/>
    <w:rsid w:val="00940CD3"/>
    <w:rsid w:val="009416B2"/>
    <w:rsid w:val="00950925"/>
    <w:rsid w:val="0095114F"/>
    <w:rsid w:val="00953934"/>
    <w:rsid w:val="009555F1"/>
    <w:rsid w:val="0095604B"/>
    <w:rsid w:val="009612B8"/>
    <w:rsid w:val="009622C0"/>
    <w:rsid w:val="00963987"/>
    <w:rsid w:val="00963C29"/>
    <w:rsid w:val="0096452A"/>
    <w:rsid w:val="00967A55"/>
    <w:rsid w:val="009702D0"/>
    <w:rsid w:val="0097318E"/>
    <w:rsid w:val="0097388E"/>
    <w:rsid w:val="0097451E"/>
    <w:rsid w:val="00975AD4"/>
    <w:rsid w:val="0098135E"/>
    <w:rsid w:val="009857E9"/>
    <w:rsid w:val="009865C9"/>
    <w:rsid w:val="00990B83"/>
    <w:rsid w:val="00992D2D"/>
    <w:rsid w:val="00993B61"/>
    <w:rsid w:val="00996D58"/>
    <w:rsid w:val="00997451"/>
    <w:rsid w:val="009A0C90"/>
    <w:rsid w:val="009A0EE0"/>
    <w:rsid w:val="009A2644"/>
    <w:rsid w:val="009A2D9A"/>
    <w:rsid w:val="009B1140"/>
    <w:rsid w:val="009B57EF"/>
    <w:rsid w:val="009B6456"/>
    <w:rsid w:val="009C6B3E"/>
    <w:rsid w:val="009D1C01"/>
    <w:rsid w:val="009D4B1D"/>
    <w:rsid w:val="009D525D"/>
    <w:rsid w:val="009D5652"/>
    <w:rsid w:val="009D7271"/>
    <w:rsid w:val="009E13A0"/>
    <w:rsid w:val="009E507F"/>
    <w:rsid w:val="009F16F1"/>
    <w:rsid w:val="009F29F6"/>
    <w:rsid w:val="009F77BE"/>
    <w:rsid w:val="00A01E65"/>
    <w:rsid w:val="00A04F34"/>
    <w:rsid w:val="00A07589"/>
    <w:rsid w:val="00A10E94"/>
    <w:rsid w:val="00A14616"/>
    <w:rsid w:val="00A14B77"/>
    <w:rsid w:val="00A237E6"/>
    <w:rsid w:val="00A24F01"/>
    <w:rsid w:val="00A261E4"/>
    <w:rsid w:val="00A36D59"/>
    <w:rsid w:val="00A37E8A"/>
    <w:rsid w:val="00A42D08"/>
    <w:rsid w:val="00A4423B"/>
    <w:rsid w:val="00A4444B"/>
    <w:rsid w:val="00A4450D"/>
    <w:rsid w:val="00A446CB"/>
    <w:rsid w:val="00A50234"/>
    <w:rsid w:val="00A51E1A"/>
    <w:rsid w:val="00A52D23"/>
    <w:rsid w:val="00A53128"/>
    <w:rsid w:val="00A603DC"/>
    <w:rsid w:val="00A60D5F"/>
    <w:rsid w:val="00A6637A"/>
    <w:rsid w:val="00A66F81"/>
    <w:rsid w:val="00A70E73"/>
    <w:rsid w:val="00A7100C"/>
    <w:rsid w:val="00A7490D"/>
    <w:rsid w:val="00A80C62"/>
    <w:rsid w:val="00A82979"/>
    <w:rsid w:val="00A87EE6"/>
    <w:rsid w:val="00A9285F"/>
    <w:rsid w:val="00A92E19"/>
    <w:rsid w:val="00A934D1"/>
    <w:rsid w:val="00A950C1"/>
    <w:rsid w:val="00A95497"/>
    <w:rsid w:val="00A95C65"/>
    <w:rsid w:val="00A96D96"/>
    <w:rsid w:val="00A971D4"/>
    <w:rsid w:val="00AB184B"/>
    <w:rsid w:val="00AB38C8"/>
    <w:rsid w:val="00AB3A57"/>
    <w:rsid w:val="00AC03A8"/>
    <w:rsid w:val="00AC60EC"/>
    <w:rsid w:val="00AD3283"/>
    <w:rsid w:val="00AD369F"/>
    <w:rsid w:val="00AD7307"/>
    <w:rsid w:val="00AE207C"/>
    <w:rsid w:val="00AE41B4"/>
    <w:rsid w:val="00AE6164"/>
    <w:rsid w:val="00AE6D74"/>
    <w:rsid w:val="00AE78AE"/>
    <w:rsid w:val="00AF1E20"/>
    <w:rsid w:val="00AF435F"/>
    <w:rsid w:val="00AF48E4"/>
    <w:rsid w:val="00AF5280"/>
    <w:rsid w:val="00AF5AC5"/>
    <w:rsid w:val="00AF5ED2"/>
    <w:rsid w:val="00B00AFA"/>
    <w:rsid w:val="00B03409"/>
    <w:rsid w:val="00B04862"/>
    <w:rsid w:val="00B16EB9"/>
    <w:rsid w:val="00B17F7D"/>
    <w:rsid w:val="00B20EFA"/>
    <w:rsid w:val="00B23B47"/>
    <w:rsid w:val="00B243B3"/>
    <w:rsid w:val="00B2662B"/>
    <w:rsid w:val="00B319CA"/>
    <w:rsid w:val="00B33192"/>
    <w:rsid w:val="00B34ED6"/>
    <w:rsid w:val="00B3661C"/>
    <w:rsid w:val="00B3719C"/>
    <w:rsid w:val="00B37E55"/>
    <w:rsid w:val="00B42B94"/>
    <w:rsid w:val="00B44C58"/>
    <w:rsid w:val="00B475D1"/>
    <w:rsid w:val="00B5132E"/>
    <w:rsid w:val="00B5217C"/>
    <w:rsid w:val="00B537BF"/>
    <w:rsid w:val="00B551CE"/>
    <w:rsid w:val="00B651DD"/>
    <w:rsid w:val="00B65253"/>
    <w:rsid w:val="00B6682E"/>
    <w:rsid w:val="00B71012"/>
    <w:rsid w:val="00B75EDC"/>
    <w:rsid w:val="00B76A5A"/>
    <w:rsid w:val="00B81C24"/>
    <w:rsid w:val="00B8314C"/>
    <w:rsid w:val="00B85F0E"/>
    <w:rsid w:val="00B927E5"/>
    <w:rsid w:val="00B968FB"/>
    <w:rsid w:val="00B97F7B"/>
    <w:rsid w:val="00BA108A"/>
    <w:rsid w:val="00BA3AB6"/>
    <w:rsid w:val="00BB0720"/>
    <w:rsid w:val="00BB11DB"/>
    <w:rsid w:val="00BB245F"/>
    <w:rsid w:val="00BB33B4"/>
    <w:rsid w:val="00BB59FA"/>
    <w:rsid w:val="00BC1E62"/>
    <w:rsid w:val="00BC220F"/>
    <w:rsid w:val="00BC236D"/>
    <w:rsid w:val="00BC7933"/>
    <w:rsid w:val="00BC7DD0"/>
    <w:rsid w:val="00BD2241"/>
    <w:rsid w:val="00BD6A12"/>
    <w:rsid w:val="00BD7826"/>
    <w:rsid w:val="00BE02CA"/>
    <w:rsid w:val="00BE069B"/>
    <w:rsid w:val="00BE4321"/>
    <w:rsid w:val="00BE43CA"/>
    <w:rsid w:val="00BE4448"/>
    <w:rsid w:val="00BE777D"/>
    <w:rsid w:val="00BF0C7A"/>
    <w:rsid w:val="00BF0DF6"/>
    <w:rsid w:val="00BF2A6E"/>
    <w:rsid w:val="00BF5620"/>
    <w:rsid w:val="00BF5657"/>
    <w:rsid w:val="00C01849"/>
    <w:rsid w:val="00C10CD3"/>
    <w:rsid w:val="00C12803"/>
    <w:rsid w:val="00C12EFF"/>
    <w:rsid w:val="00C17EEB"/>
    <w:rsid w:val="00C218D7"/>
    <w:rsid w:val="00C21A7B"/>
    <w:rsid w:val="00C24AAD"/>
    <w:rsid w:val="00C3061A"/>
    <w:rsid w:val="00C34DDD"/>
    <w:rsid w:val="00C35108"/>
    <w:rsid w:val="00C37DD2"/>
    <w:rsid w:val="00C37F5E"/>
    <w:rsid w:val="00C41087"/>
    <w:rsid w:val="00C4149E"/>
    <w:rsid w:val="00C523A8"/>
    <w:rsid w:val="00C52BA5"/>
    <w:rsid w:val="00C535E1"/>
    <w:rsid w:val="00C53CE8"/>
    <w:rsid w:val="00C53FD2"/>
    <w:rsid w:val="00C60399"/>
    <w:rsid w:val="00C624EC"/>
    <w:rsid w:val="00C63D67"/>
    <w:rsid w:val="00C676EB"/>
    <w:rsid w:val="00C7222C"/>
    <w:rsid w:val="00C73AA7"/>
    <w:rsid w:val="00C7554E"/>
    <w:rsid w:val="00C8303F"/>
    <w:rsid w:val="00C85254"/>
    <w:rsid w:val="00C909EF"/>
    <w:rsid w:val="00C91371"/>
    <w:rsid w:val="00C95E96"/>
    <w:rsid w:val="00CA2E11"/>
    <w:rsid w:val="00CA3FD6"/>
    <w:rsid w:val="00CA4FA4"/>
    <w:rsid w:val="00CA5324"/>
    <w:rsid w:val="00CA56D5"/>
    <w:rsid w:val="00CA66E4"/>
    <w:rsid w:val="00CB0E59"/>
    <w:rsid w:val="00CB6C35"/>
    <w:rsid w:val="00CC4734"/>
    <w:rsid w:val="00CC6240"/>
    <w:rsid w:val="00CC6D66"/>
    <w:rsid w:val="00CC75BC"/>
    <w:rsid w:val="00CE13B0"/>
    <w:rsid w:val="00CF0027"/>
    <w:rsid w:val="00CF2902"/>
    <w:rsid w:val="00CF4EC4"/>
    <w:rsid w:val="00CF57A3"/>
    <w:rsid w:val="00CF7114"/>
    <w:rsid w:val="00CF784F"/>
    <w:rsid w:val="00D0008C"/>
    <w:rsid w:val="00D0193F"/>
    <w:rsid w:val="00D030C5"/>
    <w:rsid w:val="00D033CC"/>
    <w:rsid w:val="00D05456"/>
    <w:rsid w:val="00D06172"/>
    <w:rsid w:val="00D10F0C"/>
    <w:rsid w:val="00D13851"/>
    <w:rsid w:val="00D1763E"/>
    <w:rsid w:val="00D20BBC"/>
    <w:rsid w:val="00D22470"/>
    <w:rsid w:val="00D22C79"/>
    <w:rsid w:val="00D22F30"/>
    <w:rsid w:val="00D276B2"/>
    <w:rsid w:val="00D276EA"/>
    <w:rsid w:val="00D2770C"/>
    <w:rsid w:val="00D33BCC"/>
    <w:rsid w:val="00D36470"/>
    <w:rsid w:val="00D40DAC"/>
    <w:rsid w:val="00D441A6"/>
    <w:rsid w:val="00D449BB"/>
    <w:rsid w:val="00D450B2"/>
    <w:rsid w:val="00D45371"/>
    <w:rsid w:val="00D50072"/>
    <w:rsid w:val="00D53FC7"/>
    <w:rsid w:val="00D541AB"/>
    <w:rsid w:val="00D5723C"/>
    <w:rsid w:val="00D62126"/>
    <w:rsid w:val="00D64901"/>
    <w:rsid w:val="00D66653"/>
    <w:rsid w:val="00D66D77"/>
    <w:rsid w:val="00D71A34"/>
    <w:rsid w:val="00D7211A"/>
    <w:rsid w:val="00D72A62"/>
    <w:rsid w:val="00D73404"/>
    <w:rsid w:val="00D74996"/>
    <w:rsid w:val="00D771BB"/>
    <w:rsid w:val="00D77CC9"/>
    <w:rsid w:val="00D82D7C"/>
    <w:rsid w:val="00D8443C"/>
    <w:rsid w:val="00D84602"/>
    <w:rsid w:val="00D8514E"/>
    <w:rsid w:val="00D87540"/>
    <w:rsid w:val="00D90FE9"/>
    <w:rsid w:val="00D93212"/>
    <w:rsid w:val="00D93B21"/>
    <w:rsid w:val="00D93B50"/>
    <w:rsid w:val="00D94B20"/>
    <w:rsid w:val="00D967FC"/>
    <w:rsid w:val="00DA36A9"/>
    <w:rsid w:val="00DA37B4"/>
    <w:rsid w:val="00DA3893"/>
    <w:rsid w:val="00DA4785"/>
    <w:rsid w:val="00DA717C"/>
    <w:rsid w:val="00DA72C4"/>
    <w:rsid w:val="00DB2465"/>
    <w:rsid w:val="00DB4D4F"/>
    <w:rsid w:val="00DB6775"/>
    <w:rsid w:val="00DB74D3"/>
    <w:rsid w:val="00DC17A4"/>
    <w:rsid w:val="00DC456B"/>
    <w:rsid w:val="00DC4810"/>
    <w:rsid w:val="00DC570D"/>
    <w:rsid w:val="00DC7E37"/>
    <w:rsid w:val="00DD1A67"/>
    <w:rsid w:val="00DD2597"/>
    <w:rsid w:val="00DD400F"/>
    <w:rsid w:val="00DD566F"/>
    <w:rsid w:val="00DD60FC"/>
    <w:rsid w:val="00DE0320"/>
    <w:rsid w:val="00DE083E"/>
    <w:rsid w:val="00DE1BC4"/>
    <w:rsid w:val="00DE23F4"/>
    <w:rsid w:val="00DE42A2"/>
    <w:rsid w:val="00DF1DAC"/>
    <w:rsid w:val="00DF4692"/>
    <w:rsid w:val="00DF52B7"/>
    <w:rsid w:val="00DF685E"/>
    <w:rsid w:val="00DF779D"/>
    <w:rsid w:val="00DF7D20"/>
    <w:rsid w:val="00E020A7"/>
    <w:rsid w:val="00E0429C"/>
    <w:rsid w:val="00E11B0E"/>
    <w:rsid w:val="00E12510"/>
    <w:rsid w:val="00E137ED"/>
    <w:rsid w:val="00E153B9"/>
    <w:rsid w:val="00E1794C"/>
    <w:rsid w:val="00E23250"/>
    <w:rsid w:val="00E23D50"/>
    <w:rsid w:val="00E30EDD"/>
    <w:rsid w:val="00E31D81"/>
    <w:rsid w:val="00E3204E"/>
    <w:rsid w:val="00E32F52"/>
    <w:rsid w:val="00E3345D"/>
    <w:rsid w:val="00E340F9"/>
    <w:rsid w:val="00E374CA"/>
    <w:rsid w:val="00E41426"/>
    <w:rsid w:val="00E416D4"/>
    <w:rsid w:val="00E43961"/>
    <w:rsid w:val="00E44CDB"/>
    <w:rsid w:val="00E45207"/>
    <w:rsid w:val="00E513EE"/>
    <w:rsid w:val="00E516E3"/>
    <w:rsid w:val="00E52C36"/>
    <w:rsid w:val="00E55767"/>
    <w:rsid w:val="00E557BA"/>
    <w:rsid w:val="00E57250"/>
    <w:rsid w:val="00E57C58"/>
    <w:rsid w:val="00E61609"/>
    <w:rsid w:val="00E67440"/>
    <w:rsid w:val="00E677B4"/>
    <w:rsid w:val="00E70EA1"/>
    <w:rsid w:val="00E71946"/>
    <w:rsid w:val="00E727B1"/>
    <w:rsid w:val="00E8050B"/>
    <w:rsid w:val="00E854C2"/>
    <w:rsid w:val="00E8678B"/>
    <w:rsid w:val="00E902D2"/>
    <w:rsid w:val="00E90400"/>
    <w:rsid w:val="00E92545"/>
    <w:rsid w:val="00E95FDE"/>
    <w:rsid w:val="00EA111B"/>
    <w:rsid w:val="00EA2410"/>
    <w:rsid w:val="00EA34FF"/>
    <w:rsid w:val="00EB008E"/>
    <w:rsid w:val="00EB1F92"/>
    <w:rsid w:val="00EB29D7"/>
    <w:rsid w:val="00EB2D2E"/>
    <w:rsid w:val="00EB4215"/>
    <w:rsid w:val="00EB6F5C"/>
    <w:rsid w:val="00EC693E"/>
    <w:rsid w:val="00ED04DF"/>
    <w:rsid w:val="00ED0754"/>
    <w:rsid w:val="00ED07C6"/>
    <w:rsid w:val="00ED1CFF"/>
    <w:rsid w:val="00ED20C6"/>
    <w:rsid w:val="00ED2AF3"/>
    <w:rsid w:val="00ED4802"/>
    <w:rsid w:val="00EE01FA"/>
    <w:rsid w:val="00EE053A"/>
    <w:rsid w:val="00EE2240"/>
    <w:rsid w:val="00EE3AB4"/>
    <w:rsid w:val="00EE4167"/>
    <w:rsid w:val="00EE45AD"/>
    <w:rsid w:val="00EE58D9"/>
    <w:rsid w:val="00EE77E2"/>
    <w:rsid w:val="00EF1186"/>
    <w:rsid w:val="00EF5E83"/>
    <w:rsid w:val="00EF6501"/>
    <w:rsid w:val="00F051C3"/>
    <w:rsid w:val="00F05F0F"/>
    <w:rsid w:val="00F10845"/>
    <w:rsid w:val="00F1696D"/>
    <w:rsid w:val="00F20A01"/>
    <w:rsid w:val="00F221FF"/>
    <w:rsid w:val="00F24B15"/>
    <w:rsid w:val="00F2719C"/>
    <w:rsid w:val="00F27B9A"/>
    <w:rsid w:val="00F27DDF"/>
    <w:rsid w:val="00F308A4"/>
    <w:rsid w:val="00F31F22"/>
    <w:rsid w:val="00F33341"/>
    <w:rsid w:val="00F33B12"/>
    <w:rsid w:val="00F36845"/>
    <w:rsid w:val="00F44B9A"/>
    <w:rsid w:val="00F45158"/>
    <w:rsid w:val="00F4637C"/>
    <w:rsid w:val="00F51B0C"/>
    <w:rsid w:val="00F53464"/>
    <w:rsid w:val="00F60CC2"/>
    <w:rsid w:val="00F61E09"/>
    <w:rsid w:val="00F627ED"/>
    <w:rsid w:val="00F63647"/>
    <w:rsid w:val="00F67536"/>
    <w:rsid w:val="00F679AA"/>
    <w:rsid w:val="00F7010B"/>
    <w:rsid w:val="00F714AC"/>
    <w:rsid w:val="00F7267C"/>
    <w:rsid w:val="00F72CFB"/>
    <w:rsid w:val="00F7391B"/>
    <w:rsid w:val="00F74B3F"/>
    <w:rsid w:val="00F80908"/>
    <w:rsid w:val="00F83FA7"/>
    <w:rsid w:val="00F94214"/>
    <w:rsid w:val="00F96EDE"/>
    <w:rsid w:val="00FA0462"/>
    <w:rsid w:val="00FA179C"/>
    <w:rsid w:val="00FA38C6"/>
    <w:rsid w:val="00FA48EA"/>
    <w:rsid w:val="00FA5379"/>
    <w:rsid w:val="00FA585A"/>
    <w:rsid w:val="00FB126D"/>
    <w:rsid w:val="00FB2B20"/>
    <w:rsid w:val="00FB2EE6"/>
    <w:rsid w:val="00FB3834"/>
    <w:rsid w:val="00FB41C5"/>
    <w:rsid w:val="00FB474E"/>
    <w:rsid w:val="00FB6011"/>
    <w:rsid w:val="00FB6FE5"/>
    <w:rsid w:val="00FC2768"/>
    <w:rsid w:val="00FC47B0"/>
    <w:rsid w:val="00FC79BF"/>
    <w:rsid w:val="00FC7F45"/>
    <w:rsid w:val="00FD11A8"/>
    <w:rsid w:val="00FD43C7"/>
    <w:rsid w:val="00FD4800"/>
    <w:rsid w:val="00FF0D5C"/>
    <w:rsid w:val="00FF1C79"/>
    <w:rsid w:val="00FF7B33"/>
    <w:rsid w:val="02285106"/>
    <w:rsid w:val="0AAD7830"/>
    <w:rsid w:val="0ABD2798"/>
    <w:rsid w:val="0CF16768"/>
    <w:rsid w:val="19A05FC4"/>
    <w:rsid w:val="1AB12EC4"/>
    <w:rsid w:val="1C6909E3"/>
    <w:rsid w:val="1E404B5F"/>
    <w:rsid w:val="1EA54290"/>
    <w:rsid w:val="21DB7537"/>
    <w:rsid w:val="283F74C3"/>
    <w:rsid w:val="284F3C57"/>
    <w:rsid w:val="28712EFE"/>
    <w:rsid w:val="28C1395D"/>
    <w:rsid w:val="2CC15C1C"/>
    <w:rsid w:val="320E702B"/>
    <w:rsid w:val="32912299"/>
    <w:rsid w:val="3961778E"/>
    <w:rsid w:val="3C0A68D3"/>
    <w:rsid w:val="3C4A62C9"/>
    <w:rsid w:val="3DA402E0"/>
    <w:rsid w:val="3E923574"/>
    <w:rsid w:val="42DE5970"/>
    <w:rsid w:val="46CB0B5A"/>
    <w:rsid w:val="47E73B3F"/>
    <w:rsid w:val="4A320939"/>
    <w:rsid w:val="4BE259B9"/>
    <w:rsid w:val="4F843866"/>
    <w:rsid w:val="4FB15796"/>
    <w:rsid w:val="500E3B02"/>
    <w:rsid w:val="50A14352"/>
    <w:rsid w:val="523A502D"/>
    <w:rsid w:val="52CF6FA3"/>
    <w:rsid w:val="538B205F"/>
    <w:rsid w:val="550340BB"/>
    <w:rsid w:val="55EE5313"/>
    <w:rsid w:val="58276ACD"/>
    <w:rsid w:val="582A713A"/>
    <w:rsid w:val="5A5B0487"/>
    <w:rsid w:val="5B3F40C1"/>
    <w:rsid w:val="5F415E0B"/>
    <w:rsid w:val="5FD57DB7"/>
    <w:rsid w:val="608851C7"/>
    <w:rsid w:val="60C17A10"/>
    <w:rsid w:val="63604B8C"/>
    <w:rsid w:val="656631EB"/>
    <w:rsid w:val="6DC26B37"/>
    <w:rsid w:val="6E093815"/>
    <w:rsid w:val="6F426C68"/>
    <w:rsid w:val="727E647C"/>
    <w:rsid w:val="7B8342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黑体"/>
      <w:kern w:val="2"/>
      <w:sz w:val="24"/>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Calibri" w:hAnsi="Calibr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semiHidden/>
    <w:unhideWhenUsed/>
    <w:qFormat/>
    <w:uiPriority w:val="0"/>
    <w:rPr>
      <w:rFonts w:ascii="宋体"/>
      <w:sz w:val="18"/>
      <w:szCs w:val="18"/>
    </w:rPr>
  </w:style>
  <w:style w:type="paragraph" w:styleId="6">
    <w:name w:val="annotation text"/>
    <w:basedOn w:val="1"/>
    <w:link w:val="27"/>
    <w:unhideWhenUsed/>
    <w:qFormat/>
    <w:uiPriority w:val="99"/>
    <w:pPr>
      <w:jc w:val="left"/>
    </w:pPr>
  </w:style>
  <w:style w:type="paragraph" w:styleId="7">
    <w:name w:val="Date"/>
    <w:basedOn w:val="1"/>
    <w:next w:val="1"/>
    <w:link w:val="26"/>
    <w:unhideWhenUsed/>
    <w:qFormat/>
    <w:uiPriority w:val="99"/>
    <w:pPr>
      <w:ind w:left="100" w:leftChars="2500"/>
    </w:pPr>
    <w:rPr>
      <w:sz w:val="32"/>
      <w:szCs w:val="32"/>
    </w:rPr>
  </w:style>
  <w:style w:type="paragraph" w:styleId="8">
    <w:name w:val="Balloon Text"/>
    <w:basedOn w:val="1"/>
    <w:link w:val="24"/>
    <w:unhideWhenUsed/>
    <w:qFormat/>
    <w:uiPriority w:val="99"/>
    <w:rPr>
      <w:rFonts w:ascii="Heiti SC Light" w:eastAsia="Heiti SC Light"/>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rPr>
  </w:style>
  <w:style w:type="paragraph" w:styleId="12">
    <w:name w:val="annotation subject"/>
    <w:basedOn w:val="6"/>
    <w:next w:val="6"/>
    <w:link w:val="28"/>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unhideWhenUsed/>
    <w:qFormat/>
    <w:uiPriority w:val="99"/>
    <w:rPr>
      <w:sz w:val="21"/>
      <w:szCs w:val="21"/>
    </w:rPr>
  </w:style>
  <w:style w:type="paragraph" w:customStyle="1" w:styleId="17">
    <w:name w:val="列出段落1"/>
    <w:basedOn w:val="1"/>
    <w:qFormat/>
    <w:uiPriority w:val="34"/>
    <w:pPr>
      <w:ind w:firstLine="420" w:firstLineChars="200"/>
    </w:pPr>
  </w:style>
  <w:style w:type="paragraph" w:customStyle="1" w:styleId="18">
    <w:name w:val="列出段落2"/>
    <w:basedOn w:val="1"/>
    <w:unhideWhenUsed/>
    <w:qFormat/>
    <w:uiPriority w:val="34"/>
    <w:pPr>
      <w:ind w:firstLine="420" w:firstLineChars="200"/>
    </w:pPr>
    <w:rPr>
      <w:sz w:val="21"/>
    </w:rPr>
  </w:style>
  <w:style w:type="paragraph" w:customStyle="1" w:styleId="19">
    <w:name w:val="列出段落3"/>
    <w:basedOn w:val="1"/>
    <w:qFormat/>
    <w:uiPriority w:val="34"/>
    <w:pPr>
      <w:ind w:firstLine="420" w:firstLineChars="200"/>
    </w:pPr>
  </w:style>
  <w:style w:type="paragraph" w:customStyle="1" w:styleId="20">
    <w:name w:val="修订1"/>
    <w:hidden/>
    <w:semiHidden/>
    <w:qFormat/>
    <w:uiPriority w:val="99"/>
    <w:rPr>
      <w:rFonts w:ascii="Cambria" w:hAnsi="Cambria" w:eastAsia="宋体" w:cs="黑体"/>
      <w:kern w:val="2"/>
      <w:sz w:val="24"/>
      <w:szCs w:val="24"/>
      <w:lang w:val="en-US" w:eastAsia="zh-CN" w:bidi="ar-SA"/>
    </w:rPr>
  </w:style>
  <w:style w:type="paragraph" w:customStyle="1" w:styleId="21">
    <w:name w:val="列出段落4"/>
    <w:basedOn w:val="1"/>
    <w:qFormat/>
    <w:uiPriority w:val="99"/>
    <w:pPr>
      <w:ind w:firstLine="420" w:firstLineChars="200"/>
    </w:pPr>
  </w:style>
  <w:style w:type="paragraph" w:customStyle="1" w:styleId="22">
    <w:name w:val="无间隔1"/>
    <w:basedOn w:val="1"/>
    <w:link w:val="32"/>
    <w:qFormat/>
    <w:uiPriority w:val="1"/>
    <w:pPr>
      <w:widowControl/>
      <w:ind w:left="-200" w:firstLine="357"/>
      <w:jc w:val="left"/>
    </w:pPr>
    <w:rPr>
      <w:rFonts w:cs="Times New Roman"/>
      <w:kern w:val="0"/>
      <w:szCs w:val="32"/>
    </w:rPr>
  </w:style>
  <w:style w:type="character" w:customStyle="1" w:styleId="23">
    <w:name w:val="标题 1 字符"/>
    <w:basedOn w:val="15"/>
    <w:link w:val="2"/>
    <w:qFormat/>
    <w:uiPriority w:val="9"/>
    <w:rPr>
      <w:b/>
      <w:bCs/>
      <w:kern w:val="44"/>
      <w:sz w:val="44"/>
      <w:szCs w:val="44"/>
    </w:rPr>
  </w:style>
  <w:style w:type="character" w:customStyle="1" w:styleId="24">
    <w:name w:val="批注框文本 字符"/>
    <w:basedOn w:val="15"/>
    <w:link w:val="8"/>
    <w:semiHidden/>
    <w:qFormat/>
    <w:uiPriority w:val="99"/>
    <w:rPr>
      <w:rFonts w:ascii="Heiti SC Light" w:eastAsia="Heiti SC Light"/>
      <w:sz w:val="18"/>
      <w:szCs w:val="18"/>
    </w:rPr>
  </w:style>
  <w:style w:type="character" w:customStyle="1" w:styleId="25">
    <w:name w:val="标题 2 字符"/>
    <w:basedOn w:val="15"/>
    <w:link w:val="3"/>
    <w:qFormat/>
    <w:uiPriority w:val="9"/>
    <w:rPr>
      <w:rFonts w:ascii="Calibri" w:hAnsi="Calibri" w:eastAsia="宋体" w:cs="黑体"/>
      <w:b/>
      <w:bCs/>
      <w:sz w:val="32"/>
      <w:szCs w:val="32"/>
    </w:rPr>
  </w:style>
  <w:style w:type="character" w:customStyle="1" w:styleId="26">
    <w:name w:val="日期 字符"/>
    <w:basedOn w:val="15"/>
    <w:link w:val="7"/>
    <w:qFormat/>
    <w:uiPriority w:val="99"/>
    <w:rPr>
      <w:sz w:val="32"/>
      <w:szCs w:val="32"/>
    </w:rPr>
  </w:style>
  <w:style w:type="character" w:customStyle="1" w:styleId="27">
    <w:name w:val="批注文字 字符"/>
    <w:basedOn w:val="15"/>
    <w:link w:val="6"/>
    <w:semiHidden/>
    <w:qFormat/>
    <w:uiPriority w:val="99"/>
    <w:rPr>
      <w:kern w:val="2"/>
      <w:sz w:val="24"/>
      <w:szCs w:val="24"/>
    </w:rPr>
  </w:style>
  <w:style w:type="character" w:customStyle="1" w:styleId="28">
    <w:name w:val="批注主题 字符"/>
    <w:basedOn w:val="27"/>
    <w:link w:val="12"/>
    <w:semiHidden/>
    <w:qFormat/>
    <w:uiPriority w:val="99"/>
    <w:rPr>
      <w:b/>
      <w:bCs/>
      <w:kern w:val="2"/>
      <w:sz w:val="24"/>
      <w:szCs w:val="24"/>
    </w:rPr>
  </w:style>
  <w:style w:type="character" w:customStyle="1" w:styleId="29">
    <w:name w:val="标题 3 字符"/>
    <w:basedOn w:val="15"/>
    <w:link w:val="4"/>
    <w:qFormat/>
    <w:uiPriority w:val="9"/>
    <w:rPr>
      <w:b/>
      <w:bCs/>
      <w:sz w:val="32"/>
      <w:szCs w:val="32"/>
    </w:rPr>
  </w:style>
  <w:style w:type="character" w:customStyle="1" w:styleId="30">
    <w:name w:val="页眉 字符"/>
    <w:basedOn w:val="15"/>
    <w:link w:val="10"/>
    <w:qFormat/>
    <w:uiPriority w:val="99"/>
    <w:rPr>
      <w:sz w:val="18"/>
      <w:szCs w:val="18"/>
    </w:rPr>
  </w:style>
  <w:style w:type="character" w:customStyle="1" w:styleId="31">
    <w:name w:val="页脚 字符"/>
    <w:basedOn w:val="15"/>
    <w:link w:val="9"/>
    <w:qFormat/>
    <w:uiPriority w:val="99"/>
    <w:rPr>
      <w:sz w:val="18"/>
      <w:szCs w:val="18"/>
    </w:rPr>
  </w:style>
  <w:style w:type="character" w:customStyle="1" w:styleId="32">
    <w:name w:val="无间隔 Char"/>
    <w:basedOn w:val="15"/>
    <w:link w:val="22"/>
    <w:qFormat/>
    <w:uiPriority w:val="1"/>
    <w:rPr>
      <w:rFonts w:cs="Times New Roman"/>
      <w:kern w:val="0"/>
      <w:szCs w:val="32"/>
    </w:rPr>
  </w:style>
  <w:style w:type="character" w:customStyle="1" w:styleId="33">
    <w:name w:val="文档结构图 字符"/>
    <w:basedOn w:val="15"/>
    <w:link w:val="5"/>
    <w:semiHidden/>
    <w:qFormat/>
    <w:uiPriority w:val="0"/>
    <w:rPr>
      <w:rFonts w:ascii="宋体" w:hAnsi="Cambria" w:cs="黑体"/>
      <w:kern w:val="2"/>
      <w:sz w:val="18"/>
      <w:szCs w:val="18"/>
    </w:rPr>
  </w:style>
  <w:style w:type="paragraph" w:customStyle="1" w:styleId="34">
    <w:name w:val="样式1"/>
    <w:basedOn w:val="1"/>
    <w:link w:val="36"/>
    <w:qFormat/>
    <w:uiPriority w:val="0"/>
    <w:pPr>
      <w:widowControl/>
      <w:adjustRightInd w:val="0"/>
      <w:snapToGrid w:val="0"/>
      <w:spacing w:line="600" w:lineRule="exact"/>
      <w:jc w:val="left"/>
      <w:textAlignment w:val="center"/>
    </w:pPr>
    <w:rPr>
      <w:rFonts w:ascii="楷体" w:hAnsi="楷体" w:eastAsia="楷体" w:cs="宋体"/>
      <w:color w:val="000000"/>
      <w:kern w:val="0"/>
      <w:sz w:val="32"/>
      <w:szCs w:val="32"/>
    </w:rPr>
  </w:style>
  <w:style w:type="paragraph" w:customStyle="1" w:styleId="35">
    <w:name w:val="样式2"/>
    <w:basedOn w:val="3"/>
    <w:link w:val="37"/>
    <w:qFormat/>
    <w:uiPriority w:val="0"/>
    <w:pPr>
      <w:spacing w:before="0" w:after="0" w:line="600" w:lineRule="exact"/>
    </w:pPr>
    <w:rPr>
      <w:rFonts w:ascii="仿宋_GB2312" w:hAnsi="华文仿宋" w:eastAsia="仿宋_GB2312"/>
      <w:kern w:val="0"/>
    </w:rPr>
  </w:style>
  <w:style w:type="character" w:customStyle="1" w:styleId="36">
    <w:name w:val="样式1 Char"/>
    <w:basedOn w:val="15"/>
    <w:link w:val="34"/>
    <w:qFormat/>
    <w:uiPriority w:val="0"/>
    <w:rPr>
      <w:rFonts w:ascii="楷体" w:hAnsi="楷体" w:eastAsia="楷体" w:cs="宋体"/>
      <w:color w:val="000000"/>
      <w:sz w:val="32"/>
      <w:szCs w:val="32"/>
    </w:rPr>
  </w:style>
  <w:style w:type="character" w:customStyle="1" w:styleId="37">
    <w:name w:val="样式2 Char"/>
    <w:basedOn w:val="25"/>
    <w:link w:val="35"/>
    <w:qFormat/>
    <w:uiPriority w:val="0"/>
    <w:rPr>
      <w:rFonts w:ascii="仿宋_GB2312" w:hAnsi="华文仿宋" w:eastAsia="仿宋_GB2312" w:cs="黑体"/>
      <w:sz w:val="32"/>
      <w:szCs w:val="32"/>
    </w:rPr>
  </w:style>
  <w:style w:type="paragraph" w:customStyle="1" w:styleId="38">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table" w:customStyle="1" w:styleId="39">
    <w:name w:val="网格型浅色1"/>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0">
    <w:name w:val="无格式表格 11"/>
    <w:basedOn w:val="1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41">
    <w:name w:val="No Spacing"/>
    <w:qFormat/>
    <w:uiPriority w:val="1"/>
    <w:rPr>
      <w:rFonts w:asciiTheme="minorHAnsi" w:hAnsiTheme="minorHAnsi" w:eastAsiaTheme="minorEastAsia" w:cstheme="minorBidi"/>
      <w:sz w:val="22"/>
      <w:szCs w:val="22"/>
      <w:lang w:val="en-US" w:eastAsia="zh-CN" w:bidi="ar-SA"/>
    </w:rPr>
  </w:style>
  <w:style w:type="paragraph" w:styleId="4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CC370-34FC-4A47-AF72-FA17881BD58D}">
  <ds:schemaRefs/>
</ds:datastoreItem>
</file>

<file path=docProps/app.xml><?xml version="1.0" encoding="utf-8"?>
<Properties xmlns="http://schemas.openxmlformats.org/officeDocument/2006/extended-properties" xmlns:vt="http://schemas.openxmlformats.org/officeDocument/2006/docPropsVTypes">
  <Template>Normal.dotm</Template>
  <Company>北京邮电大学</Company>
  <Pages>22</Pages>
  <Words>10258</Words>
  <Characters>10651</Characters>
  <Lines>80</Lines>
  <Paragraphs>22</Paragraphs>
  <TotalTime>3</TotalTime>
  <ScaleCrop>false</ScaleCrop>
  <LinksUpToDate>false</LinksUpToDate>
  <CharactersWithSpaces>10755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2020-05-05T04:38:00Z</dcterms:created>
  <dc:creator>洵 谢</dc:creator>
  <cp:lastModifiedBy>jxjyxy</cp:lastModifiedBy>
  <cp:lastPrinted>2021-06-23T01:29:00Z</cp:lastPrinted>
  <dcterms:modified xsi:type="dcterms:W3CDTF">2022-07-13T07:49:07Z</dcterms:modified>
  <dc:title>附件2</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9D51DD2E3FA44DCCBB892FF236B28A51</vt:lpwstr>
  </property>
</Properties>
</file>