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hint="eastAsia" w:ascii="方正小标宋简体" w:hAnsi="方正小标宋简体" w:eastAsia="方正小标宋简体" w:cs="方正小标宋简体"/>
          <w:b/>
          <w:sz w:val="32"/>
          <w:szCs w:val="32"/>
        </w:rPr>
      </w:pPr>
      <w:bookmarkStart w:id="1" w:name="_GoBack"/>
      <w:bookmarkEnd w:id="1"/>
      <w:bookmarkStart w:id="0" w:name="_Hlk40627719"/>
      <w:bookmarkEnd w:id="0"/>
      <w:r>
        <w:rPr>
          <w:rFonts w:hint="eastAsia" w:ascii="方正小标宋简体" w:hAnsi="方正小标宋简体" w:eastAsia="方正小标宋简体" w:cs="方正小标宋简体"/>
          <w:sz w:val="32"/>
          <w:szCs w:val="32"/>
        </w:rPr>
        <w:t>哈尔滨工程大学继续教育发展年度报告（2020）</w:t>
      </w:r>
    </w:p>
    <w:p>
      <w:pPr>
        <w:pStyle w:val="3"/>
        <w:pageBreakBefore w:val="0"/>
        <w:kinsoku/>
        <w:wordWrap/>
        <w:overflowPunct/>
        <w:topLinePunct w:val="0"/>
        <w:autoSpaceDE/>
        <w:autoSpaceDN/>
        <w:bidi w:val="0"/>
        <w:spacing w:before="0" w:after="0" w:line="600" w:lineRule="exact"/>
        <w:ind w:firstLine="640" w:firstLineChars="200"/>
        <w:rPr>
          <w:rFonts w:ascii="Times New Roman" w:hAnsi="Times New Roman" w:eastAsia="黑体" w:cs="Times New Roman"/>
          <w:kern w:val="0"/>
        </w:rPr>
      </w:pPr>
      <w:r>
        <w:rPr>
          <w:rFonts w:ascii="Times New Roman" w:hAnsi="Times New Roman" w:eastAsia="黑体" w:cs="Times New Roman"/>
          <w:b w:val="0"/>
        </w:rPr>
        <w:t>一、学校情况</w:t>
      </w:r>
    </w:p>
    <w:p>
      <w:pPr>
        <w:pStyle w:val="35"/>
        <w:pageBreakBefore w:val="0"/>
        <w:kinsoku/>
        <w:wordWrap/>
        <w:overflowPunct/>
        <w:topLinePunct w:val="0"/>
        <w:autoSpaceDE/>
        <w:autoSpaceDN/>
        <w:bidi w:val="0"/>
        <w:spacing w:line="600" w:lineRule="exact"/>
        <w:rPr>
          <w:rFonts w:ascii="Times New Roman" w:hAnsi="Times New Roman" w:eastAsia="楷体_GB2312" w:cs="Times New Roman"/>
        </w:rPr>
      </w:pPr>
      <w:r>
        <w:rPr>
          <w:rFonts w:ascii="Times New Roman" w:hAnsi="Times New Roman" w:cs="Times New Roman"/>
        </w:rPr>
        <w:t xml:space="preserve"> </w:t>
      </w:r>
      <w:r>
        <w:rPr>
          <w:rFonts w:ascii="Times New Roman" w:hAnsi="Times New Roman" w:eastAsia="楷体_GB2312" w:cs="Times New Roman"/>
        </w:rPr>
        <w:t xml:space="preserve">  </w:t>
      </w:r>
      <w:r>
        <w:rPr>
          <w:rFonts w:ascii="Times New Roman" w:hAnsi="Times New Roman" w:eastAsia="楷体_GB2312" w:cs="Times New Roman"/>
          <w:kern w:val="2"/>
        </w:rPr>
        <w:t>（一）学校概况</w:t>
      </w:r>
    </w:p>
    <w:p>
      <w:pPr>
        <w:pageBreakBefore w:val="0"/>
        <w:widowControl/>
        <w:kinsoku/>
        <w:wordWrap/>
        <w:overflowPunct/>
        <w:topLinePunct w:val="0"/>
        <w:autoSpaceDE/>
        <w:autoSpaceDN/>
        <w:bidi w:val="0"/>
        <w:adjustRightInd w:val="0"/>
        <w:snapToGrid w:val="0"/>
        <w:spacing w:line="600" w:lineRule="exact"/>
        <w:ind w:firstLine="640" w:firstLineChars="200"/>
        <w:textAlignment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哈尔滨工程大学坐落于北国冰城哈尔滨市。学校前身是创建于1953年的中国人民解放军军事工程学院（</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哈军工</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）。1970年，以海军工程系全建制及其他系部部分干部教师为基础，在</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哈军工</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原址组建哈尔滨船舶工程学院；1978年，被国务院确定为全国重点大学；1982年，成为首批具有博士、硕士学位授予权的单位；1994年，更名为哈尔滨工程大学；1996年，进入首批</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211工程</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建设高校行列；2002年，由国防科工委、黑龙江省人民政府重点共建，同年被教育部批准试办研究生院；2003年，科技部和教育部授予学校科技园</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国家大学科技园</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称号；2007年，由国防科工委、教育部、黑龙江省人民政府、海军共建，同年教育部批准正式建立研究生院；2011年，进入国家</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985工程</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优势学科创新平台项目建设高校行列；2017年，进入国家</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双一流</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建设行列。学校现隶属于国家工业和信息化部，是我国</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三海一核</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（船舶工业、海军装备、海洋开发、核能应用）领域重要的人才培养和科学研究基地。</w:t>
      </w:r>
    </w:p>
    <w:p>
      <w:pPr>
        <w:pageBreakBefore w:val="0"/>
        <w:widowControl/>
        <w:kinsoku/>
        <w:wordWrap/>
        <w:overflowPunct/>
        <w:topLinePunct w:val="0"/>
        <w:autoSpaceDE/>
        <w:autoSpaceDN/>
        <w:bidi w:val="0"/>
        <w:adjustRightInd w:val="0"/>
        <w:snapToGrid w:val="0"/>
        <w:spacing w:line="600" w:lineRule="exact"/>
        <w:ind w:firstLine="640" w:firstLineChars="200"/>
        <w:textAlignment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哈尔滨工程大学继续教育学院前身系1989年9月经中国船舶工业总公司批准成立的哈尔滨船舶工程学院成人教育学院；2003年与国际合作教育学院合署办公；2006年9月更名为哈尔滨工程大学继续教育学院；2015年7月独立建制运行。学院始终继承和发扬</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哈军工</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优良办学传统，80年代起就面向国防工业、船舶行业、核工业以及省内地市，举办各类中短期培训班、高级专业技术人员研修班、中层干部培训班、岗前培训班和技能提高班。</w:t>
      </w:r>
    </w:p>
    <w:p>
      <w:pPr>
        <w:pStyle w:val="35"/>
        <w:pageBreakBefore w:val="0"/>
        <w:kinsoku/>
        <w:wordWrap/>
        <w:overflowPunct/>
        <w:topLinePunct w:val="0"/>
        <w:autoSpaceDE/>
        <w:autoSpaceDN/>
        <w:bidi w:val="0"/>
        <w:spacing w:line="600" w:lineRule="exact"/>
        <w:rPr>
          <w:rFonts w:ascii="Times New Roman" w:hAnsi="Times New Roman" w:eastAsia="楷体_GB2312" w:cs="Times New Roman"/>
        </w:rPr>
      </w:pPr>
      <w:r>
        <w:rPr>
          <w:rFonts w:ascii="Times New Roman" w:hAnsi="Times New Roman" w:eastAsia="楷体_GB2312" w:cs="Times New Roman"/>
        </w:rPr>
        <w:t xml:space="preserve">   （二）</w:t>
      </w:r>
      <w:r>
        <w:rPr>
          <w:rFonts w:hint="eastAsia" w:ascii="Times New Roman" w:hAnsi="Times New Roman" w:eastAsia="楷体_GB2312" w:cs="Times New Roman"/>
        </w:rPr>
        <w:t>学校</w:t>
      </w:r>
      <w:r>
        <w:rPr>
          <w:rFonts w:ascii="Times New Roman" w:hAnsi="Times New Roman" w:eastAsia="楷体_GB2312" w:cs="Times New Roman"/>
        </w:rPr>
        <w:t>继续教育总体规划</w:t>
      </w:r>
      <w:r>
        <w:rPr>
          <w:rFonts w:hint="eastAsia" w:ascii="Times New Roman" w:hAnsi="Times New Roman" w:eastAsia="楷体_GB2312" w:cs="Times New Roman"/>
        </w:rPr>
        <w:t>与</w:t>
      </w:r>
      <w:r>
        <w:rPr>
          <w:rFonts w:ascii="Times New Roman" w:hAnsi="Times New Roman" w:eastAsia="楷体_GB2312" w:cs="Times New Roman"/>
        </w:rPr>
        <w:t>办学定位</w:t>
      </w:r>
    </w:p>
    <w:p>
      <w:pPr>
        <w:pageBreakBefore w:val="0"/>
        <w:widowControl/>
        <w:kinsoku/>
        <w:wordWrap/>
        <w:overflowPunct/>
        <w:topLinePunct w:val="0"/>
        <w:autoSpaceDE/>
        <w:autoSpaceDN/>
        <w:bidi w:val="0"/>
        <w:adjustRightInd w:val="0"/>
        <w:snapToGrid w:val="0"/>
        <w:spacing w:line="600" w:lineRule="exact"/>
        <w:ind w:firstLine="640" w:firstLineChars="200"/>
        <w:textAlignment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学校把继续教育</w:t>
      </w:r>
      <w:r>
        <w:rPr>
          <w:rFonts w:hint="eastAsia" w:ascii="Times New Roman" w:hAnsi="Times New Roman" w:eastAsia="仿宋_GB2312" w:cs="Times New Roman"/>
          <w:kern w:val="0"/>
          <w:sz w:val="32"/>
          <w:szCs w:val="32"/>
        </w:rPr>
        <w:t>作为</w:t>
      </w:r>
      <w:r>
        <w:rPr>
          <w:rFonts w:hint="eastAsia" w:ascii="Times New Roman" w:hAnsi="Times New Roman" w:eastAsia="仿宋_GB2312" w:cs="Times New Roman"/>
          <w:kern w:val="0"/>
          <w:sz w:val="32"/>
          <w:szCs w:val="32"/>
          <w:lang w:eastAsia="zh-CN"/>
        </w:rPr>
        <w:t>人</w:t>
      </w:r>
      <w:r>
        <w:rPr>
          <w:rFonts w:ascii="Times New Roman" w:hAnsi="Times New Roman" w:eastAsia="仿宋_GB2312" w:cs="Times New Roman"/>
          <w:kern w:val="0"/>
          <w:sz w:val="32"/>
          <w:szCs w:val="32"/>
        </w:rPr>
        <w:t>才培养的重要组成部分，强化学校服务行业和区域经济社会发展的功能，进一步健全学校教学功能、丰富学校办学形式、扩大学校办学影响、提升学校服务能力。不断推动继续教育和普通教育以学科专业建设、实验室、实践实训基地共建为纽带，推进资源共建共享，建立健全学校继续教育与校内全日制本科教育、研究生教育的统筹协调发展机制。</w:t>
      </w:r>
    </w:p>
    <w:p>
      <w:pPr>
        <w:pageBreakBefore w:val="0"/>
        <w:widowControl/>
        <w:kinsoku/>
        <w:wordWrap/>
        <w:overflowPunct/>
        <w:topLinePunct w:val="0"/>
        <w:autoSpaceDE/>
        <w:autoSpaceDN/>
        <w:bidi w:val="0"/>
        <w:adjustRightInd w:val="0"/>
        <w:snapToGrid w:val="0"/>
        <w:spacing w:line="600" w:lineRule="exact"/>
        <w:ind w:firstLine="640" w:firstLineChars="200"/>
        <w:textAlignment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学校继续教育依靠学校整体资源，充分发挥学校</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三海一核</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船舶工业、海军装备、海洋开发、核能应用）行业领域优势，积极发展学历教育，大力发展非学历教育，稳步推进高等学历继续教育，逐步完善职业教育和培训体系、深化产教融合、校企合作。从学校教育向社会教育拓展，进一步构建起普通教育与职业教育、职前教育与职后教育纵向衔接横向贯通的终身学习体系，搭建网络化、数字化、个性化的终身学习</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立交桥</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w:t>
      </w:r>
    </w:p>
    <w:p>
      <w:pPr>
        <w:pStyle w:val="35"/>
        <w:pageBreakBefore w:val="0"/>
        <w:kinsoku/>
        <w:wordWrap/>
        <w:overflowPunct/>
        <w:topLinePunct w:val="0"/>
        <w:autoSpaceDE/>
        <w:autoSpaceDN/>
        <w:bidi w:val="0"/>
        <w:spacing w:line="600" w:lineRule="exact"/>
        <w:rPr>
          <w:rFonts w:ascii="Times New Roman" w:hAnsi="Times New Roman" w:eastAsia="楷体" w:cs="Times New Roman"/>
          <w:kern w:val="2"/>
        </w:rPr>
      </w:pPr>
      <w:r>
        <w:rPr>
          <w:rFonts w:ascii="Times New Roman" w:hAnsi="Times New Roman" w:eastAsia="楷体" w:cs="Times New Roman"/>
          <w:kern w:val="2"/>
        </w:rPr>
        <w:t xml:space="preserve">  </w:t>
      </w:r>
      <w:r>
        <w:rPr>
          <w:rFonts w:ascii="Times New Roman" w:hAnsi="Times New Roman" w:eastAsia="楷体_GB2312" w:cs="Times New Roman"/>
        </w:rPr>
        <w:t xml:space="preserve"> （三）学校继续教育办学体制</w:t>
      </w:r>
      <w:r>
        <w:rPr>
          <w:rFonts w:hint="eastAsia" w:ascii="Times New Roman" w:hAnsi="Times New Roman" w:eastAsia="楷体_GB2312" w:cs="Times New Roman"/>
        </w:rPr>
        <w:t>与</w:t>
      </w:r>
      <w:r>
        <w:rPr>
          <w:rFonts w:ascii="Times New Roman" w:hAnsi="Times New Roman" w:eastAsia="楷体_GB2312" w:cs="Times New Roman"/>
        </w:rPr>
        <w:t>管理机制</w:t>
      </w:r>
    </w:p>
    <w:p>
      <w:pPr>
        <w:pageBreakBefore w:val="0"/>
        <w:widowControl/>
        <w:kinsoku/>
        <w:wordWrap/>
        <w:overflowPunct/>
        <w:topLinePunct w:val="0"/>
        <w:autoSpaceDE/>
        <w:autoSpaceDN/>
        <w:bidi w:val="0"/>
        <w:adjustRightInd w:val="0"/>
        <w:snapToGrid w:val="0"/>
        <w:spacing w:line="600" w:lineRule="exact"/>
        <w:ind w:firstLine="640" w:firstLineChars="200"/>
        <w:textAlignment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继续教育学院作为学校继续教育的办学主体，代表学校对全校的高等学历继续教育和部分非学历教育行使管理职能</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是学校对外实施继续教育的办学机构与归口管理部门。根据学校实际，高等学历继续教育实行分级管理体制，即</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校院共管</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和</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校地共管</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校院共管</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是指继续教育学院作为学校的职能部门，代表学校对全校的高等学历继续教育进行全过程管理，主要负责高等学历继续教育招生、组织教学、学籍管理等工作。</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校地共管</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是指继续教育学院与函授站所在地的教育主管部门及函授站共同管理函授教育，其中继续</w:t>
      </w:r>
      <w:r>
        <w:rPr>
          <w:rFonts w:hint="eastAsia" w:ascii="Times New Roman" w:hAnsi="Times New Roman" w:eastAsia="仿宋_GB2312" w:cs="Times New Roman"/>
          <w:kern w:val="0"/>
          <w:sz w:val="32"/>
          <w:szCs w:val="32"/>
          <w:lang w:eastAsia="zh-CN"/>
        </w:rPr>
        <w:t>教育</w:t>
      </w:r>
      <w:r>
        <w:rPr>
          <w:rFonts w:ascii="Times New Roman" w:hAnsi="Times New Roman" w:eastAsia="仿宋_GB2312" w:cs="Times New Roman"/>
          <w:kern w:val="0"/>
          <w:sz w:val="32"/>
          <w:szCs w:val="32"/>
        </w:rPr>
        <w:t>学院负责招生、教学、学籍管理等工作，函授站在学校指导监督下，负责招生宣传、协助组织教学和考试及日常的学生管理等工作。</w:t>
      </w:r>
    </w:p>
    <w:p>
      <w:pPr>
        <w:pageBreakBefore w:val="0"/>
        <w:widowControl/>
        <w:kinsoku/>
        <w:wordWrap/>
        <w:overflowPunct/>
        <w:topLinePunct w:val="0"/>
        <w:autoSpaceDE/>
        <w:autoSpaceDN/>
        <w:bidi w:val="0"/>
        <w:adjustRightInd w:val="0"/>
        <w:snapToGrid w:val="0"/>
        <w:spacing w:line="600" w:lineRule="exact"/>
        <w:ind w:firstLine="640" w:firstLineChars="200"/>
        <w:textAlignment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长期以来，学校领导十分重视继续教育工作，始终将继续教育作为与全日制教育、研究生教育并列的三项基本教育任务之一，实现资源共享，设备共用，优势互补，协调发展。学校将继续教育纳入学校整体发展规划，列入学校重要议事日程。学校继续教育主管领导经常组织相关部门研究继续教育的办学方针、指导思想、招生规模、教学安排以及学生的思想政治工作等，及时解决发展中存在的问题。</w:t>
      </w:r>
    </w:p>
    <w:p>
      <w:pPr>
        <w:pStyle w:val="3"/>
        <w:pageBreakBefore w:val="0"/>
        <w:numPr>
          <w:ilvl w:val="0"/>
          <w:numId w:val="0"/>
        </w:numPr>
        <w:kinsoku/>
        <w:wordWrap/>
        <w:overflowPunct/>
        <w:topLinePunct w:val="0"/>
        <w:autoSpaceDE/>
        <w:autoSpaceDN/>
        <w:bidi w:val="0"/>
        <w:spacing w:before="0" w:after="0" w:line="600" w:lineRule="exact"/>
        <w:ind w:leftChars="0" w:firstLine="640" w:firstLineChars="200"/>
        <w:rPr>
          <w:rFonts w:ascii="Times New Roman" w:hAnsi="Times New Roman" w:eastAsia="黑体" w:cs="Times New Roman"/>
          <w:b w:val="0"/>
        </w:rPr>
      </w:pPr>
      <w:r>
        <w:rPr>
          <w:rFonts w:hint="eastAsia" w:ascii="Times New Roman" w:hAnsi="Times New Roman" w:eastAsia="黑体" w:cs="Times New Roman"/>
          <w:b w:val="0"/>
          <w:lang w:eastAsia="zh-CN"/>
        </w:rPr>
        <w:t>二、</w:t>
      </w:r>
      <w:r>
        <w:rPr>
          <w:rFonts w:ascii="Times New Roman" w:hAnsi="Times New Roman" w:eastAsia="黑体" w:cs="Times New Roman"/>
          <w:b w:val="0"/>
        </w:rPr>
        <w:t>专业设置</w:t>
      </w:r>
    </w:p>
    <w:p>
      <w:pPr>
        <w:pStyle w:val="35"/>
        <w:pageBreakBefore w:val="0"/>
        <w:kinsoku/>
        <w:wordWrap/>
        <w:overflowPunct/>
        <w:topLinePunct w:val="0"/>
        <w:autoSpaceDE/>
        <w:autoSpaceDN/>
        <w:bidi w:val="0"/>
        <w:spacing w:line="600" w:lineRule="exact"/>
        <w:ind w:left="630"/>
        <w:rPr>
          <w:rFonts w:ascii="Times New Roman" w:hAnsi="Times New Roman" w:eastAsia="楷体_GB2312" w:cs="Times New Roman"/>
          <w:kern w:val="2"/>
        </w:rPr>
      </w:pPr>
      <w:r>
        <w:rPr>
          <w:rFonts w:ascii="Times New Roman" w:hAnsi="Times New Roman" w:eastAsia="楷体_GB2312" w:cs="Times New Roman"/>
          <w:kern w:val="2"/>
        </w:rPr>
        <w:t>（一）学历继续教育专业设置情况</w:t>
      </w:r>
    </w:p>
    <w:p>
      <w:pPr>
        <w:pageBreakBefore w:val="0"/>
        <w:widowControl/>
        <w:kinsoku/>
        <w:wordWrap/>
        <w:overflowPunct/>
        <w:topLinePunct w:val="0"/>
        <w:autoSpaceDE/>
        <w:autoSpaceDN/>
        <w:bidi w:val="0"/>
        <w:adjustRightInd w:val="0"/>
        <w:snapToGrid w:val="0"/>
        <w:spacing w:line="600" w:lineRule="exact"/>
        <w:ind w:firstLine="640" w:firstLineChars="200"/>
        <w:textAlignment w:val="center"/>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哈尔滨工程大学高等学历继续教育开设船舶与海洋工程、机械设计制造及其自动化、工商管理、轮机工程、电气工程及其自动化、土木工程、法学、给排水科学与工程、建筑环境与能源应用工程、能源与动力工程</w:t>
      </w:r>
      <w:r>
        <w:rPr>
          <w:rFonts w:ascii="Times New Roman" w:hAnsi="Times New Roman" w:eastAsia="仿宋_GB2312" w:cs="Times New Roman"/>
          <w:kern w:val="0"/>
          <w:sz w:val="32"/>
          <w:szCs w:val="32"/>
        </w:rPr>
        <w:t>10</w:t>
      </w:r>
      <w:r>
        <w:rPr>
          <w:rFonts w:hint="eastAsia" w:ascii="Times New Roman" w:hAnsi="Times New Roman" w:eastAsia="仿宋_GB2312" w:cs="仿宋_GB2312"/>
          <w:kern w:val="0"/>
          <w:sz w:val="32"/>
          <w:szCs w:val="32"/>
        </w:rPr>
        <w:t>个本科专业。学校在教育部第四轮学科评估中获</w:t>
      </w:r>
      <w:r>
        <w:rPr>
          <w:rFonts w:ascii="Times New Roman" w:hAnsi="Times New Roman" w:eastAsia="仿宋_GB2312" w:cs="Times New Roman"/>
          <w:kern w:val="0"/>
          <w:sz w:val="32"/>
          <w:szCs w:val="32"/>
        </w:rPr>
        <w:t>A+</w:t>
      </w:r>
      <w:r>
        <w:rPr>
          <w:rFonts w:hint="eastAsia" w:ascii="Times New Roman" w:hAnsi="Times New Roman" w:eastAsia="仿宋_GB2312" w:cs="仿宋_GB2312"/>
          <w:kern w:val="0"/>
          <w:sz w:val="32"/>
          <w:szCs w:val="32"/>
        </w:rPr>
        <w:t>、</w:t>
      </w:r>
      <w:r>
        <w:rPr>
          <w:rFonts w:ascii="Times New Roman" w:hAnsi="Times New Roman" w:eastAsia="仿宋_GB2312" w:cs="Times New Roman"/>
          <w:kern w:val="0"/>
          <w:sz w:val="32"/>
          <w:szCs w:val="32"/>
        </w:rPr>
        <w:t>A-</w:t>
      </w:r>
      <w:r>
        <w:rPr>
          <w:rFonts w:hint="eastAsia" w:ascii="Times New Roman" w:hAnsi="Times New Roman" w:eastAsia="仿宋_GB2312" w:cs="仿宋_GB2312"/>
          <w:kern w:val="0"/>
          <w:sz w:val="32"/>
          <w:szCs w:val="32"/>
        </w:rPr>
        <w:t>等级学科各</w:t>
      </w:r>
      <w:r>
        <w:rPr>
          <w:rFonts w:ascii="Times New Roman" w:hAnsi="Times New Roman" w:eastAsia="仿宋_GB2312" w:cs="Times New Roman"/>
          <w:kern w:val="0"/>
          <w:sz w:val="32"/>
          <w:szCs w:val="32"/>
        </w:rPr>
        <w:t>1</w:t>
      </w:r>
      <w:r>
        <w:rPr>
          <w:rFonts w:hint="eastAsia" w:ascii="Times New Roman" w:hAnsi="Times New Roman" w:eastAsia="仿宋_GB2312" w:cs="仿宋_GB2312"/>
          <w:kern w:val="0"/>
          <w:sz w:val="32"/>
          <w:szCs w:val="32"/>
        </w:rPr>
        <w:t>个，获</w:t>
      </w:r>
      <w:r>
        <w:rPr>
          <w:rFonts w:ascii="Times New Roman" w:hAnsi="Times New Roman" w:eastAsia="仿宋_GB2312" w:cs="Times New Roman"/>
          <w:kern w:val="0"/>
          <w:sz w:val="32"/>
          <w:szCs w:val="32"/>
        </w:rPr>
        <w:t>B+</w:t>
      </w:r>
      <w:r>
        <w:rPr>
          <w:rFonts w:hint="eastAsia" w:ascii="Times New Roman" w:hAnsi="Times New Roman" w:eastAsia="仿宋_GB2312" w:cs="仿宋_GB2312"/>
          <w:kern w:val="0"/>
          <w:sz w:val="32"/>
          <w:szCs w:val="32"/>
        </w:rPr>
        <w:t>等级学科</w:t>
      </w:r>
      <w:r>
        <w:rPr>
          <w:rFonts w:ascii="Times New Roman" w:hAnsi="Times New Roman" w:eastAsia="仿宋_GB2312" w:cs="Times New Roman"/>
          <w:kern w:val="0"/>
          <w:sz w:val="32"/>
          <w:szCs w:val="32"/>
        </w:rPr>
        <w:t>5</w:t>
      </w:r>
      <w:r>
        <w:rPr>
          <w:rFonts w:hint="eastAsia" w:ascii="Times New Roman" w:hAnsi="Times New Roman" w:eastAsia="仿宋_GB2312" w:cs="仿宋_GB2312"/>
          <w:kern w:val="0"/>
          <w:sz w:val="32"/>
          <w:szCs w:val="32"/>
        </w:rPr>
        <w:t>个，</w:t>
      </w:r>
      <w:r>
        <w:rPr>
          <w:rFonts w:ascii="Times New Roman" w:hAnsi="Times New Roman" w:eastAsia="仿宋_GB2312" w:cs="Times New Roman"/>
          <w:kern w:val="0"/>
          <w:sz w:val="32"/>
          <w:szCs w:val="32"/>
        </w:rPr>
        <w:t>B</w:t>
      </w:r>
      <w:r>
        <w:rPr>
          <w:rFonts w:hint="eastAsia" w:ascii="Times New Roman" w:hAnsi="Times New Roman" w:eastAsia="仿宋_GB2312" w:cs="仿宋_GB2312"/>
          <w:kern w:val="0"/>
          <w:sz w:val="32"/>
          <w:szCs w:val="32"/>
        </w:rPr>
        <w:t>级学科</w:t>
      </w:r>
      <w:r>
        <w:rPr>
          <w:rFonts w:ascii="Times New Roman" w:hAnsi="Times New Roman" w:eastAsia="仿宋_GB2312" w:cs="Times New Roman"/>
          <w:kern w:val="0"/>
          <w:sz w:val="32"/>
          <w:szCs w:val="32"/>
        </w:rPr>
        <w:t>6</w:t>
      </w:r>
      <w:r>
        <w:rPr>
          <w:rFonts w:hint="eastAsia" w:ascii="Times New Roman" w:hAnsi="Times New Roman" w:eastAsia="仿宋_GB2312" w:cs="仿宋_GB2312"/>
          <w:kern w:val="0"/>
          <w:sz w:val="32"/>
          <w:szCs w:val="32"/>
        </w:rPr>
        <w:t>个，</w:t>
      </w:r>
      <w:r>
        <w:rPr>
          <w:rFonts w:ascii="Times New Roman" w:hAnsi="Times New Roman" w:eastAsia="仿宋_GB2312" w:cs="Times New Roman"/>
          <w:kern w:val="0"/>
          <w:sz w:val="32"/>
          <w:szCs w:val="32"/>
        </w:rPr>
        <w:t>13</w:t>
      </w:r>
      <w:r>
        <w:rPr>
          <w:rFonts w:hint="eastAsia" w:ascii="Times New Roman" w:hAnsi="Times New Roman" w:eastAsia="仿宋_GB2312" w:cs="仿宋_GB2312"/>
          <w:kern w:val="0"/>
          <w:sz w:val="32"/>
          <w:szCs w:val="32"/>
        </w:rPr>
        <w:t>个学科进入全国前</w:t>
      </w:r>
      <w:r>
        <w:rPr>
          <w:rFonts w:ascii="Times New Roman" w:hAnsi="Times New Roman" w:eastAsia="仿宋_GB2312" w:cs="Times New Roman"/>
          <w:kern w:val="0"/>
          <w:sz w:val="32"/>
          <w:szCs w:val="32"/>
        </w:rPr>
        <w:t>30%</w:t>
      </w:r>
      <w:r>
        <w:rPr>
          <w:rFonts w:hint="eastAsia" w:ascii="Times New Roman" w:hAnsi="Times New Roman" w:eastAsia="仿宋_GB2312" w:cs="仿宋_GB2312"/>
          <w:kern w:val="0"/>
          <w:sz w:val="32"/>
          <w:szCs w:val="32"/>
        </w:rPr>
        <w:t>行列，学院根据教育部</w:t>
      </w:r>
      <w:r>
        <w:rPr>
          <w:rFonts w:hint="eastAsia" w:ascii="Times New Roman" w:hAnsi="Times New Roman" w:eastAsia="仿宋_GB2312" w:cs="Times New Roman"/>
          <w:kern w:val="0"/>
          <w:sz w:val="32"/>
          <w:szCs w:val="32"/>
        </w:rPr>
        <w:t>教职成〔2016〕7号</w:t>
      </w:r>
      <w:r>
        <w:rPr>
          <w:rFonts w:hint="eastAsia" w:ascii="Times New Roman" w:hAnsi="Times New Roman" w:eastAsia="仿宋_GB2312" w:cs="仿宋_GB2312"/>
          <w:kern w:val="0"/>
          <w:sz w:val="32"/>
          <w:szCs w:val="32"/>
        </w:rPr>
        <w:t>《高等学历继续教育专业设置管理办法》的规定，围绕学校船舶与海洋工程、轮机工程、电气工程及其自动化等优势学科设置高等学历继续教育专业。</w:t>
      </w:r>
    </w:p>
    <w:p>
      <w:pPr>
        <w:pStyle w:val="35"/>
        <w:pageBreakBefore w:val="0"/>
        <w:kinsoku/>
        <w:wordWrap/>
        <w:overflowPunct/>
        <w:topLinePunct w:val="0"/>
        <w:autoSpaceDE/>
        <w:autoSpaceDN/>
        <w:bidi w:val="0"/>
        <w:spacing w:line="600" w:lineRule="exact"/>
        <w:ind w:left="630"/>
        <w:rPr>
          <w:rFonts w:ascii="Times New Roman" w:hAnsi="Times New Roman" w:eastAsia="楷体_GB2312" w:cs="Times New Roman"/>
          <w:kern w:val="2"/>
        </w:rPr>
      </w:pPr>
      <w:r>
        <w:rPr>
          <w:rFonts w:ascii="Times New Roman" w:hAnsi="Times New Roman" w:eastAsia="楷体_GB2312" w:cs="Times New Roman"/>
          <w:kern w:val="2"/>
        </w:rPr>
        <w:t>（二）学历继续教育专业调整情况</w:t>
      </w:r>
    </w:p>
    <w:p>
      <w:pPr>
        <w:pageBreakBefore w:val="0"/>
        <w:widowControl/>
        <w:kinsoku/>
        <w:wordWrap/>
        <w:overflowPunct/>
        <w:topLinePunct w:val="0"/>
        <w:autoSpaceDE/>
        <w:autoSpaceDN/>
        <w:bidi w:val="0"/>
        <w:adjustRightInd w:val="0"/>
        <w:snapToGrid w:val="0"/>
        <w:spacing w:line="600" w:lineRule="exact"/>
        <w:ind w:firstLine="640" w:firstLineChars="200"/>
        <w:textAlignment w:val="center"/>
        <w:rPr>
          <w:rFonts w:hint="eastAsia"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学校为进一步加强高等学历继续教育专业建设，适应我国社会主义现代化建设的需要，促进学校高等学历继续教育专业教育规模、质量、效益协调发展，使专业设置更为合理、规范，学校高等学历继续教育依托优势学科，优化调整开设专业布局，通过考察调研沿海省份发展特点，充分发挥学校优势学科，推进在沿海省份所需专业的高等学历继续教育发展。</w:t>
      </w:r>
      <w:r>
        <w:rPr>
          <w:rFonts w:hint="eastAsia" w:ascii="Times New Roman" w:hAnsi="Times New Roman" w:eastAsia="仿宋_GB2312" w:cs="Times New Roman"/>
          <w:kern w:val="0"/>
          <w:sz w:val="32"/>
          <w:szCs w:val="32"/>
        </w:rPr>
        <w:t>2020年</w:t>
      </w:r>
      <w:r>
        <w:rPr>
          <w:rFonts w:hint="eastAsia" w:ascii="Times New Roman" w:hAnsi="Times New Roman" w:eastAsia="仿宋_GB2312" w:cs="Times New Roman"/>
          <w:kern w:val="0"/>
          <w:sz w:val="32"/>
          <w:szCs w:val="32"/>
          <w:lang w:eastAsia="zh-CN"/>
        </w:rPr>
        <w:t>以</w:t>
      </w:r>
      <w:r>
        <w:rPr>
          <w:rFonts w:hint="eastAsia" w:ascii="Times New Roman" w:hAnsi="Times New Roman" w:eastAsia="仿宋_GB2312" w:cs="Times New Roman"/>
          <w:kern w:val="0"/>
          <w:sz w:val="32"/>
          <w:szCs w:val="32"/>
        </w:rPr>
        <w:t>山东省发展海洋强省建设</w:t>
      </w:r>
      <w:r>
        <w:rPr>
          <w:rFonts w:hint="eastAsia" w:ascii="Times New Roman" w:hAnsi="Times New Roman" w:eastAsia="仿宋_GB2312" w:cs="Times New Roman"/>
          <w:kern w:val="0"/>
          <w:sz w:val="32"/>
          <w:szCs w:val="32"/>
          <w:lang w:eastAsia="zh-CN"/>
        </w:rPr>
        <w:t>为</w:t>
      </w:r>
      <w:r>
        <w:rPr>
          <w:rFonts w:hint="eastAsia" w:ascii="Times New Roman" w:hAnsi="Times New Roman" w:eastAsia="仿宋_GB2312" w:cs="Times New Roman"/>
          <w:kern w:val="0"/>
          <w:sz w:val="32"/>
          <w:szCs w:val="32"/>
        </w:rPr>
        <w:t>契机，在已开设的船舶与海工程专业基础上，拟开设轮机工程专业，</w:t>
      </w:r>
      <w:r>
        <w:rPr>
          <w:rFonts w:hint="eastAsia" w:ascii="Times New Roman" w:hAnsi="Times New Roman" w:eastAsia="仿宋_GB2312" w:cs="Times New Roman"/>
          <w:kern w:val="0"/>
          <w:sz w:val="32"/>
          <w:szCs w:val="32"/>
          <w:lang w:eastAsia="zh-CN"/>
        </w:rPr>
        <w:t>扩大招生规模，为</w:t>
      </w:r>
      <w:r>
        <w:rPr>
          <w:rFonts w:hint="eastAsia" w:ascii="Times New Roman" w:hAnsi="Times New Roman" w:eastAsia="仿宋_GB2312" w:cs="Times New Roman"/>
          <w:kern w:val="0"/>
          <w:sz w:val="32"/>
          <w:szCs w:val="32"/>
        </w:rPr>
        <w:t>地方经济建设服务</w:t>
      </w:r>
      <w:r>
        <w:rPr>
          <w:rFonts w:hint="eastAsia" w:ascii="Times New Roman" w:hAnsi="Times New Roman" w:eastAsia="仿宋_GB2312" w:cs="Times New Roman"/>
          <w:kern w:val="0"/>
          <w:sz w:val="32"/>
          <w:szCs w:val="32"/>
          <w:lang w:eastAsia="zh-CN"/>
        </w:rPr>
        <w:t>助力</w:t>
      </w:r>
      <w:r>
        <w:rPr>
          <w:rFonts w:hint="eastAsia" w:ascii="Times New Roman" w:hAnsi="Times New Roman" w:eastAsia="仿宋_GB2312" w:cs="Times New Roman"/>
          <w:kern w:val="0"/>
          <w:sz w:val="32"/>
          <w:szCs w:val="32"/>
        </w:rPr>
        <w:t>。</w:t>
      </w:r>
    </w:p>
    <w:p>
      <w:pPr>
        <w:pStyle w:val="35"/>
        <w:pageBreakBefore w:val="0"/>
        <w:kinsoku/>
        <w:wordWrap/>
        <w:overflowPunct/>
        <w:topLinePunct w:val="0"/>
        <w:autoSpaceDE/>
        <w:autoSpaceDN/>
        <w:bidi w:val="0"/>
        <w:spacing w:line="600" w:lineRule="exact"/>
        <w:ind w:left="630"/>
        <w:rPr>
          <w:rFonts w:ascii="Times New Roman" w:hAnsi="Times New Roman" w:eastAsia="楷体_GB2312" w:cs="Times New Roman"/>
          <w:kern w:val="2"/>
        </w:rPr>
      </w:pPr>
      <w:r>
        <w:rPr>
          <w:rFonts w:ascii="Times New Roman" w:hAnsi="Times New Roman" w:eastAsia="楷体_GB2312" w:cs="Times New Roman"/>
          <w:kern w:val="2"/>
        </w:rPr>
        <w:t>（三）专业人才培养方案制订及调整情况</w:t>
      </w:r>
    </w:p>
    <w:p>
      <w:pPr>
        <w:pageBreakBefore w:val="0"/>
        <w:widowControl/>
        <w:kinsoku/>
        <w:wordWrap/>
        <w:overflowPunct/>
        <w:topLinePunct w:val="0"/>
        <w:autoSpaceDE/>
        <w:autoSpaceDN/>
        <w:bidi w:val="0"/>
        <w:adjustRightInd w:val="0"/>
        <w:snapToGrid w:val="0"/>
        <w:spacing w:line="600" w:lineRule="exact"/>
        <w:ind w:firstLine="640" w:firstLineChars="200"/>
        <w:textAlignment w:val="center"/>
        <w:rPr>
          <w:rFonts w:hint="eastAsia"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依托学校相关专业优秀教师资源，开展部分专业线上线下混合教学模式的探索，利用互联网</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继续教育的教学管理平台建设，借助混合式教学模式的改革，结合在线课程的录制工作，分批次的开始修订人才培养方案及课程大纲。在人才培养方案及课程大纲的修订工作中，在原相关专业人才培养方案及课程大纲的基础上，认真贯彻落实国家教育部和省教育厅的有关规定和要求，遵循高等学历继续教育教学规律，把握教学及学习的特点，以满足学习者学习发展需求为导向，以学习者职业能力提升为重点，结合学校实际，充分吸收教学改革和教学研究成果，对知识点进行调整及更新。以经济社会需求为导向，以提高高等学历继续教育学生知识、能力、素质为目标，积极改革培养模式、教学内容，优化课程体系，规范人才培养方案的标准和要求，科学设置课程体系，突出学校高等学历继续教育的办学优势和特色，培养具有较高综合素养、适应职业发展需要、具有创新意识的应用型人才。</w:t>
      </w:r>
      <w:r>
        <w:rPr>
          <w:rFonts w:hint="eastAsia" w:ascii="Times New Roman" w:hAnsi="Times New Roman" w:eastAsia="仿宋_GB2312" w:cs="Times New Roman"/>
          <w:kern w:val="0"/>
          <w:sz w:val="32"/>
          <w:szCs w:val="32"/>
        </w:rPr>
        <w:t>2020年，</w:t>
      </w:r>
      <w:r>
        <w:rPr>
          <w:rFonts w:hint="eastAsia" w:ascii="Times New Roman" w:hAnsi="Times New Roman" w:eastAsia="仿宋_GB2312" w:cs="Times New Roman"/>
          <w:kern w:val="0"/>
          <w:sz w:val="32"/>
          <w:szCs w:val="32"/>
          <w:lang w:eastAsia="zh-CN"/>
        </w:rPr>
        <w:t>已完成</w:t>
      </w:r>
      <w:r>
        <w:rPr>
          <w:rFonts w:hint="eastAsia" w:ascii="Times New Roman" w:hAnsi="Times New Roman" w:eastAsia="仿宋_GB2312" w:cs="Times New Roman"/>
          <w:kern w:val="0"/>
          <w:sz w:val="32"/>
          <w:szCs w:val="32"/>
        </w:rPr>
        <w:t>混合教学模式</w:t>
      </w:r>
      <w:r>
        <w:rPr>
          <w:rFonts w:hint="eastAsia" w:ascii="Times New Roman" w:hAnsi="Times New Roman" w:eastAsia="仿宋_GB2312" w:cs="Times New Roman"/>
          <w:kern w:val="0"/>
          <w:sz w:val="32"/>
          <w:szCs w:val="32"/>
          <w:lang w:eastAsia="zh-CN"/>
        </w:rPr>
        <w:t>六个专业</w:t>
      </w:r>
      <w:r>
        <w:rPr>
          <w:rFonts w:hint="eastAsia" w:ascii="Times New Roman" w:hAnsi="Times New Roman" w:eastAsia="仿宋_GB2312" w:cs="Times New Roman"/>
          <w:kern w:val="0"/>
          <w:sz w:val="32"/>
          <w:szCs w:val="32"/>
          <w:lang w:val="en-US" w:eastAsia="zh-CN"/>
        </w:rPr>
        <w:t>50余门课程大纲修订。</w:t>
      </w:r>
    </w:p>
    <w:p>
      <w:pPr>
        <w:pStyle w:val="3"/>
        <w:pageBreakBefore w:val="0"/>
        <w:numPr>
          <w:ilvl w:val="0"/>
          <w:numId w:val="0"/>
        </w:numPr>
        <w:kinsoku/>
        <w:wordWrap/>
        <w:overflowPunct/>
        <w:topLinePunct w:val="0"/>
        <w:autoSpaceDE/>
        <w:autoSpaceDN/>
        <w:bidi w:val="0"/>
        <w:spacing w:before="0" w:after="0" w:line="600" w:lineRule="exact"/>
        <w:ind w:leftChars="0" w:firstLine="640" w:firstLineChars="200"/>
        <w:rPr>
          <w:rFonts w:ascii="Times New Roman" w:hAnsi="Times New Roman" w:eastAsia="黑体" w:cs="Times New Roman"/>
          <w:b w:val="0"/>
        </w:rPr>
      </w:pPr>
      <w:r>
        <w:rPr>
          <w:rFonts w:hint="eastAsia" w:ascii="Times New Roman" w:hAnsi="Times New Roman" w:eastAsia="黑体" w:cs="Times New Roman"/>
          <w:b w:val="0"/>
          <w:lang w:eastAsia="zh-CN"/>
        </w:rPr>
        <w:t>三、</w:t>
      </w:r>
      <w:r>
        <w:rPr>
          <w:rFonts w:ascii="Times New Roman" w:hAnsi="Times New Roman" w:eastAsia="黑体" w:cs="Times New Roman"/>
          <w:b w:val="0"/>
        </w:rPr>
        <w:t>人才培养</w:t>
      </w:r>
    </w:p>
    <w:p>
      <w:pPr>
        <w:pStyle w:val="35"/>
        <w:pageBreakBefore w:val="0"/>
        <w:kinsoku/>
        <w:wordWrap/>
        <w:overflowPunct/>
        <w:topLinePunct w:val="0"/>
        <w:autoSpaceDE/>
        <w:autoSpaceDN/>
        <w:bidi w:val="0"/>
        <w:spacing w:line="600" w:lineRule="exact"/>
        <w:ind w:firstLine="643" w:firstLineChars="200"/>
        <w:rPr>
          <w:rFonts w:ascii="Times New Roman" w:hAnsi="Times New Roman" w:eastAsia="楷体_GB2312" w:cs="Times New Roman"/>
          <w:kern w:val="2"/>
        </w:rPr>
      </w:pPr>
      <w:r>
        <w:rPr>
          <w:rFonts w:ascii="Times New Roman" w:hAnsi="Times New Roman" w:eastAsia="楷体_GB2312" w:cs="Times New Roman"/>
          <w:kern w:val="2"/>
        </w:rPr>
        <w:t>（一）学历继续教育情况</w:t>
      </w:r>
    </w:p>
    <w:p>
      <w:pPr>
        <w:pageBreakBefore w:val="0"/>
        <w:widowControl/>
        <w:kinsoku/>
        <w:wordWrap/>
        <w:overflowPunct/>
        <w:topLinePunct w:val="0"/>
        <w:autoSpaceDE/>
        <w:autoSpaceDN/>
        <w:bidi w:val="0"/>
        <w:adjustRightInd w:val="0"/>
        <w:snapToGrid w:val="0"/>
        <w:spacing w:line="600" w:lineRule="exact"/>
        <w:ind w:firstLine="640" w:firstLineChars="200"/>
        <w:textAlignment w:val="center"/>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1.总体规模</w:t>
      </w:r>
    </w:p>
    <w:p>
      <w:pPr>
        <w:pageBreakBefore w:val="0"/>
        <w:widowControl/>
        <w:kinsoku/>
        <w:wordWrap/>
        <w:overflowPunct/>
        <w:topLinePunct w:val="0"/>
        <w:autoSpaceDE/>
        <w:autoSpaceDN/>
        <w:bidi w:val="0"/>
        <w:adjustRightInd w:val="0"/>
        <w:snapToGrid w:val="0"/>
        <w:spacing w:line="600" w:lineRule="exact"/>
        <w:ind w:firstLine="640" w:firstLineChars="200"/>
        <w:textAlignment w:val="center"/>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哈尔滨工程大学高等学历继续教育现有在籍学生数</w:t>
      </w:r>
      <w:r>
        <w:rPr>
          <w:rFonts w:ascii="Times New Roman" w:hAnsi="Times New Roman" w:eastAsia="仿宋_GB2312" w:cs="Times New Roman"/>
          <w:kern w:val="0"/>
          <w:sz w:val="32"/>
          <w:szCs w:val="32"/>
        </w:rPr>
        <w:t>2257</w:t>
      </w:r>
      <w:r>
        <w:rPr>
          <w:rFonts w:hint="eastAsia" w:ascii="Times New Roman" w:hAnsi="Times New Roman" w:eastAsia="仿宋_GB2312" w:cs="仿宋_GB2312"/>
          <w:kern w:val="0"/>
          <w:sz w:val="32"/>
          <w:szCs w:val="32"/>
        </w:rPr>
        <w:t>人，共分为高起本、专升本两个层次，学习形式为函授，主要涉及船舶与海洋工程、土木工程、建筑环境与能源应用工程、给排水科学与工程、电气工程及其自动化、工商管理、法学、轮机工程等</w:t>
      </w:r>
      <w:r>
        <w:rPr>
          <w:rFonts w:ascii="Times New Roman" w:hAnsi="Times New Roman" w:eastAsia="仿宋_GB2312" w:cs="Times New Roman"/>
          <w:kern w:val="0"/>
          <w:sz w:val="32"/>
          <w:szCs w:val="32"/>
        </w:rPr>
        <w:t>10</w:t>
      </w:r>
      <w:r>
        <w:rPr>
          <w:rFonts w:hint="eastAsia" w:ascii="Times New Roman" w:hAnsi="Times New Roman" w:eastAsia="仿宋_GB2312" w:cs="仿宋_GB2312"/>
          <w:kern w:val="0"/>
          <w:sz w:val="32"/>
          <w:szCs w:val="32"/>
        </w:rPr>
        <w:t>个本科专业，共计</w:t>
      </w:r>
      <w:r>
        <w:rPr>
          <w:rFonts w:ascii="Times New Roman" w:hAnsi="Times New Roman" w:eastAsia="仿宋_GB2312" w:cs="Times New Roman"/>
          <w:kern w:val="0"/>
          <w:sz w:val="32"/>
          <w:szCs w:val="32"/>
        </w:rPr>
        <w:t>2215</w:t>
      </w:r>
      <w:r>
        <w:rPr>
          <w:rFonts w:hint="eastAsia" w:ascii="Times New Roman" w:hAnsi="Times New Roman" w:eastAsia="仿宋_GB2312" w:cs="仿宋_GB2312"/>
          <w:kern w:val="0"/>
          <w:sz w:val="32"/>
          <w:szCs w:val="32"/>
        </w:rPr>
        <w:t>人；工商企业管理、计算机应用技术、经济管理等</w:t>
      </w:r>
      <w:r>
        <w:rPr>
          <w:rFonts w:ascii="Times New Roman" w:hAnsi="Times New Roman" w:eastAsia="仿宋_GB2312" w:cs="Times New Roman"/>
          <w:kern w:val="0"/>
          <w:sz w:val="32"/>
          <w:szCs w:val="32"/>
        </w:rPr>
        <w:t>6</w:t>
      </w:r>
      <w:r>
        <w:rPr>
          <w:rFonts w:hint="eastAsia" w:ascii="Times New Roman" w:hAnsi="Times New Roman" w:eastAsia="仿宋_GB2312" w:cs="仿宋_GB2312"/>
          <w:kern w:val="0"/>
          <w:sz w:val="32"/>
          <w:szCs w:val="32"/>
        </w:rPr>
        <w:t>个专科专业，共计</w:t>
      </w:r>
      <w:r>
        <w:rPr>
          <w:rFonts w:ascii="Times New Roman" w:hAnsi="Times New Roman" w:eastAsia="仿宋_GB2312" w:cs="Times New Roman"/>
          <w:kern w:val="0"/>
          <w:sz w:val="32"/>
          <w:szCs w:val="32"/>
        </w:rPr>
        <w:t>42</w:t>
      </w:r>
      <w:r>
        <w:rPr>
          <w:rFonts w:hint="eastAsia" w:ascii="Times New Roman" w:hAnsi="Times New Roman" w:eastAsia="仿宋_GB2312" w:cs="仿宋_GB2312"/>
          <w:kern w:val="0"/>
          <w:sz w:val="32"/>
          <w:szCs w:val="32"/>
        </w:rPr>
        <w:t>人（</w:t>
      </w:r>
      <w:r>
        <w:rPr>
          <w:rFonts w:ascii="Times New Roman" w:hAnsi="Times New Roman" w:eastAsia="仿宋_GB2312" w:cs="Times New Roman"/>
          <w:kern w:val="0"/>
          <w:sz w:val="32"/>
          <w:szCs w:val="32"/>
        </w:rPr>
        <w:t>2017</w:t>
      </w:r>
      <w:r>
        <w:rPr>
          <w:rFonts w:hint="eastAsia" w:ascii="Times New Roman" w:hAnsi="Times New Roman" w:eastAsia="仿宋_GB2312" w:cs="仿宋_GB2312"/>
          <w:kern w:val="0"/>
          <w:sz w:val="32"/>
          <w:szCs w:val="32"/>
        </w:rPr>
        <w:t>年专科专业停止招生，现还有在籍学生</w:t>
      </w:r>
      <w:r>
        <w:rPr>
          <w:rFonts w:ascii="Times New Roman" w:hAnsi="Times New Roman" w:eastAsia="仿宋_GB2312" w:cs="Times New Roman"/>
          <w:kern w:val="0"/>
          <w:sz w:val="32"/>
          <w:szCs w:val="32"/>
        </w:rPr>
        <w:t>42</w:t>
      </w:r>
      <w:r>
        <w:rPr>
          <w:rFonts w:hint="eastAsia" w:ascii="Times New Roman" w:hAnsi="Times New Roman" w:eastAsia="仿宋_GB2312" w:cs="仿宋_GB2312"/>
          <w:kern w:val="0"/>
          <w:sz w:val="32"/>
          <w:szCs w:val="32"/>
        </w:rPr>
        <w:t>人）。各专业具体学生数如表</w:t>
      </w:r>
      <w:r>
        <w:rPr>
          <w:rFonts w:ascii="Times New Roman" w:hAnsi="Times New Roman" w:eastAsia="仿宋_GB2312" w:cs="Times New Roman"/>
          <w:kern w:val="0"/>
          <w:sz w:val="32"/>
          <w:szCs w:val="32"/>
        </w:rPr>
        <w:t>1</w:t>
      </w:r>
      <w:r>
        <w:rPr>
          <w:rFonts w:hint="eastAsia" w:ascii="Times New Roman" w:hAnsi="Times New Roman" w:eastAsia="仿宋_GB2312" w:cs="仿宋_GB2312"/>
          <w:kern w:val="0"/>
          <w:sz w:val="32"/>
          <w:szCs w:val="32"/>
        </w:rPr>
        <w:t>所示：</w:t>
      </w:r>
    </w:p>
    <w:p>
      <w:pPr>
        <w:snapToGrid w:val="0"/>
        <w:spacing w:line="600" w:lineRule="exact"/>
        <w:jc w:val="center"/>
        <w:rPr>
          <w:rFonts w:ascii="Times New Roman" w:hAnsi="楷体" w:eastAsia="楷体" w:cs="Times New Roman"/>
          <w:kern w:val="0"/>
          <w:sz w:val="30"/>
          <w:szCs w:val="30"/>
        </w:rPr>
      </w:pPr>
      <w:r>
        <w:rPr>
          <w:rFonts w:hint="eastAsia" w:ascii="Times New Roman" w:hAnsi="楷体" w:eastAsia="楷体" w:cs="楷体"/>
          <w:kern w:val="0"/>
          <w:sz w:val="30"/>
          <w:szCs w:val="30"/>
        </w:rPr>
        <w:t>表</w:t>
      </w:r>
      <w:r>
        <w:rPr>
          <w:rFonts w:ascii="Times New Roman" w:hAnsi="楷体" w:eastAsia="楷体" w:cs="Times New Roman"/>
          <w:kern w:val="0"/>
          <w:sz w:val="30"/>
          <w:szCs w:val="30"/>
        </w:rPr>
        <w:t>1    2020</w:t>
      </w:r>
      <w:r>
        <w:rPr>
          <w:rFonts w:hint="eastAsia" w:ascii="Times New Roman" w:hAnsi="楷体" w:eastAsia="楷体" w:cs="楷体"/>
          <w:kern w:val="0"/>
          <w:sz w:val="30"/>
          <w:szCs w:val="30"/>
        </w:rPr>
        <w:t>年在籍学生数</w:t>
      </w:r>
    </w:p>
    <w:tbl>
      <w:tblPr>
        <w:tblStyle w:val="13"/>
        <w:tblW w:w="0" w:type="auto"/>
        <w:tblInd w:w="-106" w:type="dxa"/>
        <w:tblLayout w:type="fixed"/>
        <w:tblCellMar>
          <w:top w:w="0" w:type="dxa"/>
          <w:left w:w="108" w:type="dxa"/>
          <w:bottom w:w="0" w:type="dxa"/>
          <w:right w:w="108" w:type="dxa"/>
        </w:tblCellMar>
      </w:tblPr>
      <w:tblGrid>
        <w:gridCol w:w="1156"/>
        <w:gridCol w:w="1157"/>
        <w:gridCol w:w="4022"/>
        <w:gridCol w:w="2889"/>
      </w:tblGrid>
      <w:tr>
        <w:tblPrEx>
          <w:tblCellMar>
            <w:top w:w="0" w:type="dxa"/>
            <w:left w:w="108" w:type="dxa"/>
            <w:bottom w:w="0" w:type="dxa"/>
            <w:right w:w="108" w:type="dxa"/>
          </w:tblCellMar>
        </w:tblPrEx>
        <w:trPr>
          <w:trHeight w:val="255" w:hRule="atLeast"/>
        </w:trPr>
        <w:tc>
          <w:tcPr>
            <w:tcW w:w="1156"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层次</w:t>
            </w:r>
          </w:p>
        </w:tc>
        <w:tc>
          <w:tcPr>
            <w:tcW w:w="1157"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合计</w:t>
            </w:r>
          </w:p>
        </w:tc>
        <w:tc>
          <w:tcPr>
            <w:tcW w:w="4022"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专业</w:t>
            </w:r>
          </w:p>
        </w:tc>
        <w:tc>
          <w:tcPr>
            <w:tcW w:w="2889"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在籍学生数</w:t>
            </w:r>
          </w:p>
        </w:tc>
      </w:tr>
      <w:tr>
        <w:tblPrEx>
          <w:tblCellMar>
            <w:top w:w="0" w:type="dxa"/>
            <w:left w:w="108" w:type="dxa"/>
            <w:bottom w:w="0" w:type="dxa"/>
            <w:right w:w="108" w:type="dxa"/>
          </w:tblCellMar>
        </w:tblPrEx>
        <w:trPr>
          <w:trHeight w:val="255" w:hRule="atLeast"/>
        </w:trPr>
        <w:tc>
          <w:tcPr>
            <w:tcW w:w="1156" w:type="dxa"/>
            <w:vMerge w:val="restart"/>
            <w:tcBorders>
              <w:top w:val="nil"/>
              <w:left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高起专</w:t>
            </w:r>
          </w:p>
        </w:tc>
        <w:tc>
          <w:tcPr>
            <w:tcW w:w="1157" w:type="dxa"/>
            <w:vMerge w:val="restart"/>
            <w:tcBorders>
              <w:top w:val="nil"/>
              <w:left w:val="nil"/>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42</w:t>
            </w:r>
          </w:p>
        </w:tc>
        <w:tc>
          <w:tcPr>
            <w:tcW w:w="4022"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工商企业管理</w:t>
            </w:r>
          </w:p>
        </w:tc>
        <w:tc>
          <w:tcPr>
            <w:tcW w:w="288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12</w:t>
            </w:r>
          </w:p>
        </w:tc>
      </w:tr>
      <w:tr>
        <w:tblPrEx>
          <w:tblCellMar>
            <w:top w:w="0" w:type="dxa"/>
            <w:left w:w="108" w:type="dxa"/>
            <w:bottom w:w="0" w:type="dxa"/>
            <w:right w:w="108" w:type="dxa"/>
          </w:tblCellMar>
        </w:tblPrEx>
        <w:trPr>
          <w:trHeight w:val="255" w:hRule="atLeast"/>
        </w:trPr>
        <w:tc>
          <w:tcPr>
            <w:tcW w:w="1156" w:type="dxa"/>
            <w:vMerge w:val="continue"/>
            <w:tcBorders>
              <w:left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1157" w:type="dxa"/>
            <w:vMerge w:val="continue"/>
            <w:tcBorders>
              <w:left w:val="nil"/>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4022"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计算机应用技术</w:t>
            </w:r>
          </w:p>
        </w:tc>
        <w:tc>
          <w:tcPr>
            <w:tcW w:w="288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14</w:t>
            </w:r>
          </w:p>
        </w:tc>
      </w:tr>
      <w:tr>
        <w:tblPrEx>
          <w:tblCellMar>
            <w:top w:w="0" w:type="dxa"/>
            <w:left w:w="108" w:type="dxa"/>
            <w:bottom w:w="0" w:type="dxa"/>
            <w:right w:w="108" w:type="dxa"/>
          </w:tblCellMar>
        </w:tblPrEx>
        <w:trPr>
          <w:trHeight w:val="255" w:hRule="atLeast"/>
        </w:trPr>
        <w:tc>
          <w:tcPr>
            <w:tcW w:w="1156" w:type="dxa"/>
            <w:vMerge w:val="continue"/>
            <w:tcBorders>
              <w:left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1157" w:type="dxa"/>
            <w:vMerge w:val="continue"/>
            <w:tcBorders>
              <w:left w:val="nil"/>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4022"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建筑工程技术</w:t>
            </w:r>
          </w:p>
        </w:tc>
        <w:tc>
          <w:tcPr>
            <w:tcW w:w="288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7</w:t>
            </w:r>
          </w:p>
        </w:tc>
      </w:tr>
      <w:tr>
        <w:tblPrEx>
          <w:tblCellMar>
            <w:top w:w="0" w:type="dxa"/>
            <w:left w:w="108" w:type="dxa"/>
            <w:bottom w:w="0" w:type="dxa"/>
            <w:right w:w="108" w:type="dxa"/>
          </w:tblCellMar>
        </w:tblPrEx>
        <w:trPr>
          <w:trHeight w:val="255" w:hRule="atLeast"/>
        </w:trPr>
        <w:tc>
          <w:tcPr>
            <w:tcW w:w="1156" w:type="dxa"/>
            <w:vMerge w:val="continue"/>
            <w:tcBorders>
              <w:left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1157" w:type="dxa"/>
            <w:vMerge w:val="continue"/>
            <w:tcBorders>
              <w:left w:val="nil"/>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4022"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金融学</w:t>
            </w:r>
          </w:p>
        </w:tc>
        <w:tc>
          <w:tcPr>
            <w:tcW w:w="288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6</w:t>
            </w:r>
          </w:p>
        </w:tc>
      </w:tr>
      <w:tr>
        <w:tblPrEx>
          <w:tblCellMar>
            <w:top w:w="0" w:type="dxa"/>
            <w:left w:w="108" w:type="dxa"/>
            <w:bottom w:w="0" w:type="dxa"/>
            <w:right w:w="108" w:type="dxa"/>
          </w:tblCellMar>
        </w:tblPrEx>
        <w:trPr>
          <w:trHeight w:val="255" w:hRule="atLeast"/>
        </w:trPr>
        <w:tc>
          <w:tcPr>
            <w:tcW w:w="1156" w:type="dxa"/>
            <w:vMerge w:val="continue"/>
            <w:tcBorders>
              <w:left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1157" w:type="dxa"/>
            <w:vMerge w:val="continue"/>
            <w:tcBorders>
              <w:left w:val="nil"/>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4022"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经济管理</w:t>
            </w:r>
          </w:p>
        </w:tc>
        <w:tc>
          <w:tcPr>
            <w:tcW w:w="288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2</w:t>
            </w:r>
          </w:p>
        </w:tc>
      </w:tr>
      <w:tr>
        <w:tblPrEx>
          <w:tblCellMar>
            <w:top w:w="0" w:type="dxa"/>
            <w:left w:w="108" w:type="dxa"/>
            <w:bottom w:w="0" w:type="dxa"/>
            <w:right w:w="108" w:type="dxa"/>
          </w:tblCellMar>
        </w:tblPrEx>
        <w:trPr>
          <w:trHeight w:val="255" w:hRule="atLeast"/>
        </w:trPr>
        <w:tc>
          <w:tcPr>
            <w:tcW w:w="1156" w:type="dxa"/>
            <w:vMerge w:val="continue"/>
            <w:tcBorders>
              <w:left w:val="single" w:color="auto" w:sz="4" w:space="0"/>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1157" w:type="dxa"/>
            <w:vMerge w:val="continue"/>
            <w:tcBorders>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4022"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市场营销</w:t>
            </w:r>
          </w:p>
        </w:tc>
        <w:tc>
          <w:tcPr>
            <w:tcW w:w="288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1</w:t>
            </w:r>
          </w:p>
        </w:tc>
      </w:tr>
      <w:tr>
        <w:tblPrEx>
          <w:tblCellMar>
            <w:top w:w="0" w:type="dxa"/>
            <w:left w:w="108" w:type="dxa"/>
            <w:bottom w:w="0" w:type="dxa"/>
            <w:right w:w="108" w:type="dxa"/>
          </w:tblCellMar>
        </w:tblPrEx>
        <w:trPr>
          <w:trHeight w:val="255" w:hRule="atLeast"/>
        </w:trPr>
        <w:tc>
          <w:tcPr>
            <w:tcW w:w="1156" w:type="dxa"/>
            <w:vMerge w:val="restart"/>
            <w:tcBorders>
              <w:top w:val="nil"/>
              <w:left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专升本</w:t>
            </w:r>
          </w:p>
        </w:tc>
        <w:tc>
          <w:tcPr>
            <w:tcW w:w="1157" w:type="dxa"/>
            <w:vMerge w:val="restart"/>
            <w:tcBorders>
              <w:top w:val="nil"/>
              <w:left w:val="nil"/>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2077</w:t>
            </w:r>
          </w:p>
        </w:tc>
        <w:tc>
          <w:tcPr>
            <w:tcW w:w="4022"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船舶与海洋工程</w:t>
            </w:r>
          </w:p>
        </w:tc>
        <w:tc>
          <w:tcPr>
            <w:tcW w:w="288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92</w:t>
            </w:r>
          </w:p>
        </w:tc>
      </w:tr>
      <w:tr>
        <w:tblPrEx>
          <w:tblCellMar>
            <w:top w:w="0" w:type="dxa"/>
            <w:left w:w="108" w:type="dxa"/>
            <w:bottom w:w="0" w:type="dxa"/>
            <w:right w:w="108" w:type="dxa"/>
          </w:tblCellMar>
        </w:tblPrEx>
        <w:trPr>
          <w:trHeight w:val="255" w:hRule="atLeast"/>
        </w:trPr>
        <w:tc>
          <w:tcPr>
            <w:tcW w:w="1156" w:type="dxa"/>
            <w:vMerge w:val="continue"/>
            <w:tcBorders>
              <w:left w:val="single" w:color="auto" w:sz="4" w:space="0"/>
              <w:right w:val="single" w:color="auto" w:sz="4" w:space="0"/>
            </w:tcBorders>
            <w:noWrap/>
            <w:vAlign w:val="center"/>
          </w:tcPr>
          <w:p>
            <w:pPr>
              <w:spacing w:line="380" w:lineRule="exact"/>
              <w:jc w:val="center"/>
              <w:rPr>
                <w:rFonts w:ascii="Times New Roman" w:hAnsi="Times New Roman" w:eastAsia="仿宋_GB2312" w:cs="Times New Roman"/>
                <w:kern w:val="0"/>
              </w:rPr>
            </w:pPr>
          </w:p>
        </w:tc>
        <w:tc>
          <w:tcPr>
            <w:tcW w:w="1157" w:type="dxa"/>
            <w:vMerge w:val="continue"/>
            <w:tcBorders>
              <w:left w:val="nil"/>
              <w:right w:val="single" w:color="auto" w:sz="4" w:space="0"/>
            </w:tcBorders>
            <w:noWrap/>
            <w:vAlign w:val="center"/>
          </w:tcPr>
          <w:p>
            <w:pPr>
              <w:spacing w:line="380" w:lineRule="exact"/>
              <w:jc w:val="center"/>
              <w:rPr>
                <w:rFonts w:ascii="Times New Roman" w:hAnsi="Times New Roman" w:eastAsia="仿宋_GB2312" w:cs="Times New Roman"/>
                <w:kern w:val="0"/>
              </w:rPr>
            </w:pPr>
          </w:p>
        </w:tc>
        <w:tc>
          <w:tcPr>
            <w:tcW w:w="4022"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机械设计制造及其自动化</w:t>
            </w:r>
          </w:p>
        </w:tc>
        <w:tc>
          <w:tcPr>
            <w:tcW w:w="288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94</w:t>
            </w:r>
          </w:p>
        </w:tc>
      </w:tr>
      <w:tr>
        <w:tblPrEx>
          <w:tblCellMar>
            <w:top w:w="0" w:type="dxa"/>
            <w:left w:w="108" w:type="dxa"/>
            <w:bottom w:w="0" w:type="dxa"/>
            <w:right w:w="108" w:type="dxa"/>
          </w:tblCellMar>
        </w:tblPrEx>
        <w:trPr>
          <w:trHeight w:val="255" w:hRule="atLeast"/>
        </w:trPr>
        <w:tc>
          <w:tcPr>
            <w:tcW w:w="1156" w:type="dxa"/>
            <w:vMerge w:val="continue"/>
            <w:tcBorders>
              <w:left w:val="single" w:color="auto" w:sz="4" w:space="0"/>
              <w:right w:val="single" w:color="auto" w:sz="4" w:space="0"/>
            </w:tcBorders>
            <w:noWrap/>
            <w:vAlign w:val="center"/>
          </w:tcPr>
          <w:p>
            <w:pPr>
              <w:spacing w:line="380" w:lineRule="exact"/>
              <w:jc w:val="center"/>
              <w:rPr>
                <w:rFonts w:ascii="Times New Roman" w:hAnsi="Times New Roman" w:eastAsia="仿宋_GB2312" w:cs="Times New Roman"/>
                <w:kern w:val="0"/>
              </w:rPr>
            </w:pPr>
          </w:p>
        </w:tc>
        <w:tc>
          <w:tcPr>
            <w:tcW w:w="1157" w:type="dxa"/>
            <w:vMerge w:val="continue"/>
            <w:tcBorders>
              <w:left w:val="nil"/>
              <w:right w:val="single" w:color="auto" w:sz="4" w:space="0"/>
            </w:tcBorders>
            <w:noWrap/>
            <w:vAlign w:val="center"/>
          </w:tcPr>
          <w:p>
            <w:pPr>
              <w:spacing w:line="380" w:lineRule="exact"/>
              <w:jc w:val="center"/>
              <w:rPr>
                <w:rFonts w:ascii="Times New Roman" w:hAnsi="Times New Roman" w:eastAsia="仿宋_GB2312" w:cs="Times New Roman"/>
                <w:kern w:val="0"/>
              </w:rPr>
            </w:pPr>
          </w:p>
        </w:tc>
        <w:tc>
          <w:tcPr>
            <w:tcW w:w="4022"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工商管理</w:t>
            </w:r>
          </w:p>
        </w:tc>
        <w:tc>
          <w:tcPr>
            <w:tcW w:w="288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322</w:t>
            </w:r>
          </w:p>
        </w:tc>
      </w:tr>
      <w:tr>
        <w:tblPrEx>
          <w:tblCellMar>
            <w:top w:w="0" w:type="dxa"/>
            <w:left w:w="108" w:type="dxa"/>
            <w:bottom w:w="0" w:type="dxa"/>
            <w:right w:w="108" w:type="dxa"/>
          </w:tblCellMar>
        </w:tblPrEx>
        <w:trPr>
          <w:trHeight w:val="255" w:hRule="atLeast"/>
        </w:trPr>
        <w:tc>
          <w:tcPr>
            <w:tcW w:w="1156" w:type="dxa"/>
            <w:vMerge w:val="continue"/>
            <w:tcBorders>
              <w:left w:val="single" w:color="auto" w:sz="4" w:space="0"/>
              <w:right w:val="single" w:color="auto" w:sz="4" w:space="0"/>
            </w:tcBorders>
            <w:noWrap/>
            <w:vAlign w:val="center"/>
          </w:tcPr>
          <w:p>
            <w:pPr>
              <w:spacing w:line="380" w:lineRule="exact"/>
              <w:jc w:val="center"/>
              <w:rPr>
                <w:rFonts w:ascii="Times New Roman" w:hAnsi="Times New Roman" w:eastAsia="仿宋_GB2312" w:cs="Times New Roman"/>
                <w:kern w:val="0"/>
              </w:rPr>
            </w:pPr>
          </w:p>
        </w:tc>
        <w:tc>
          <w:tcPr>
            <w:tcW w:w="1157" w:type="dxa"/>
            <w:vMerge w:val="continue"/>
            <w:tcBorders>
              <w:left w:val="nil"/>
              <w:right w:val="single" w:color="auto" w:sz="4" w:space="0"/>
            </w:tcBorders>
            <w:noWrap/>
            <w:vAlign w:val="center"/>
          </w:tcPr>
          <w:p>
            <w:pPr>
              <w:spacing w:line="380" w:lineRule="exact"/>
              <w:jc w:val="center"/>
              <w:rPr>
                <w:rFonts w:ascii="Times New Roman" w:hAnsi="Times New Roman" w:eastAsia="仿宋_GB2312" w:cs="Times New Roman"/>
                <w:kern w:val="0"/>
              </w:rPr>
            </w:pPr>
          </w:p>
        </w:tc>
        <w:tc>
          <w:tcPr>
            <w:tcW w:w="4022"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轮机工程</w:t>
            </w:r>
          </w:p>
        </w:tc>
        <w:tc>
          <w:tcPr>
            <w:tcW w:w="288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5</w:t>
            </w:r>
          </w:p>
        </w:tc>
      </w:tr>
      <w:tr>
        <w:tblPrEx>
          <w:tblCellMar>
            <w:top w:w="0" w:type="dxa"/>
            <w:left w:w="108" w:type="dxa"/>
            <w:bottom w:w="0" w:type="dxa"/>
            <w:right w:w="108" w:type="dxa"/>
          </w:tblCellMar>
        </w:tblPrEx>
        <w:trPr>
          <w:trHeight w:val="255" w:hRule="atLeast"/>
        </w:trPr>
        <w:tc>
          <w:tcPr>
            <w:tcW w:w="1156" w:type="dxa"/>
            <w:vMerge w:val="continue"/>
            <w:tcBorders>
              <w:left w:val="single" w:color="auto" w:sz="4" w:space="0"/>
              <w:right w:val="single" w:color="auto" w:sz="4" w:space="0"/>
            </w:tcBorders>
            <w:noWrap/>
            <w:vAlign w:val="center"/>
          </w:tcPr>
          <w:p>
            <w:pPr>
              <w:spacing w:line="380" w:lineRule="exact"/>
              <w:jc w:val="center"/>
              <w:rPr>
                <w:rFonts w:ascii="Times New Roman" w:hAnsi="Times New Roman" w:eastAsia="仿宋_GB2312" w:cs="Times New Roman"/>
                <w:kern w:val="0"/>
              </w:rPr>
            </w:pPr>
          </w:p>
        </w:tc>
        <w:tc>
          <w:tcPr>
            <w:tcW w:w="1157" w:type="dxa"/>
            <w:vMerge w:val="continue"/>
            <w:tcBorders>
              <w:left w:val="nil"/>
              <w:right w:val="single" w:color="auto" w:sz="4" w:space="0"/>
            </w:tcBorders>
            <w:noWrap/>
            <w:vAlign w:val="center"/>
          </w:tcPr>
          <w:p>
            <w:pPr>
              <w:spacing w:line="380" w:lineRule="exact"/>
              <w:jc w:val="center"/>
              <w:rPr>
                <w:rFonts w:ascii="Times New Roman" w:hAnsi="Times New Roman" w:eastAsia="仿宋_GB2312" w:cs="Times New Roman"/>
                <w:kern w:val="0"/>
              </w:rPr>
            </w:pPr>
          </w:p>
        </w:tc>
        <w:tc>
          <w:tcPr>
            <w:tcW w:w="4022"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能源与动力工程</w:t>
            </w:r>
          </w:p>
        </w:tc>
        <w:tc>
          <w:tcPr>
            <w:tcW w:w="288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3</w:t>
            </w:r>
          </w:p>
        </w:tc>
      </w:tr>
      <w:tr>
        <w:tblPrEx>
          <w:tblCellMar>
            <w:top w:w="0" w:type="dxa"/>
            <w:left w:w="108" w:type="dxa"/>
            <w:bottom w:w="0" w:type="dxa"/>
            <w:right w:w="108" w:type="dxa"/>
          </w:tblCellMar>
        </w:tblPrEx>
        <w:trPr>
          <w:trHeight w:val="255" w:hRule="atLeast"/>
        </w:trPr>
        <w:tc>
          <w:tcPr>
            <w:tcW w:w="1156" w:type="dxa"/>
            <w:vMerge w:val="continue"/>
            <w:tcBorders>
              <w:left w:val="single" w:color="auto" w:sz="4" w:space="0"/>
              <w:right w:val="single" w:color="auto" w:sz="4" w:space="0"/>
            </w:tcBorders>
            <w:noWrap/>
            <w:vAlign w:val="center"/>
          </w:tcPr>
          <w:p>
            <w:pPr>
              <w:spacing w:line="380" w:lineRule="exact"/>
              <w:jc w:val="center"/>
              <w:rPr>
                <w:rFonts w:ascii="Times New Roman" w:hAnsi="Times New Roman" w:eastAsia="仿宋_GB2312" w:cs="Times New Roman"/>
                <w:kern w:val="0"/>
              </w:rPr>
            </w:pPr>
          </w:p>
        </w:tc>
        <w:tc>
          <w:tcPr>
            <w:tcW w:w="1157" w:type="dxa"/>
            <w:vMerge w:val="continue"/>
            <w:tcBorders>
              <w:left w:val="nil"/>
              <w:right w:val="single" w:color="auto" w:sz="4" w:space="0"/>
            </w:tcBorders>
            <w:noWrap/>
            <w:vAlign w:val="center"/>
          </w:tcPr>
          <w:p>
            <w:pPr>
              <w:spacing w:line="380" w:lineRule="exact"/>
              <w:jc w:val="center"/>
              <w:rPr>
                <w:rFonts w:ascii="Times New Roman" w:hAnsi="Times New Roman" w:eastAsia="仿宋_GB2312" w:cs="Times New Roman"/>
                <w:kern w:val="0"/>
              </w:rPr>
            </w:pPr>
          </w:p>
        </w:tc>
        <w:tc>
          <w:tcPr>
            <w:tcW w:w="4022"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电气工程及其自动化</w:t>
            </w:r>
          </w:p>
        </w:tc>
        <w:tc>
          <w:tcPr>
            <w:tcW w:w="288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230</w:t>
            </w:r>
          </w:p>
        </w:tc>
      </w:tr>
      <w:tr>
        <w:tblPrEx>
          <w:tblCellMar>
            <w:top w:w="0" w:type="dxa"/>
            <w:left w:w="108" w:type="dxa"/>
            <w:bottom w:w="0" w:type="dxa"/>
            <w:right w:w="108" w:type="dxa"/>
          </w:tblCellMar>
        </w:tblPrEx>
        <w:trPr>
          <w:trHeight w:val="255" w:hRule="atLeast"/>
        </w:trPr>
        <w:tc>
          <w:tcPr>
            <w:tcW w:w="1156" w:type="dxa"/>
            <w:vMerge w:val="continue"/>
            <w:tcBorders>
              <w:left w:val="single" w:color="auto" w:sz="4" w:space="0"/>
              <w:right w:val="single" w:color="auto" w:sz="4" w:space="0"/>
            </w:tcBorders>
            <w:noWrap/>
            <w:vAlign w:val="center"/>
          </w:tcPr>
          <w:p>
            <w:pPr>
              <w:spacing w:line="380" w:lineRule="exact"/>
              <w:jc w:val="center"/>
              <w:rPr>
                <w:rFonts w:ascii="Times New Roman" w:hAnsi="Times New Roman" w:eastAsia="仿宋_GB2312" w:cs="Times New Roman"/>
                <w:kern w:val="0"/>
              </w:rPr>
            </w:pPr>
          </w:p>
        </w:tc>
        <w:tc>
          <w:tcPr>
            <w:tcW w:w="1157" w:type="dxa"/>
            <w:vMerge w:val="continue"/>
            <w:tcBorders>
              <w:left w:val="nil"/>
              <w:right w:val="single" w:color="auto" w:sz="4" w:space="0"/>
            </w:tcBorders>
            <w:noWrap/>
            <w:vAlign w:val="center"/>
          </w:tcPr>
          <w:p>
            <w:pPr>
              <w:spacing w:line="380" w:lineRule="exact"/>
              <w:jc w:val="center"/>
              <w:rPr>
                <w:rFonts w:ascii="Times New Roman" w:hAnsi="Times New Roman" w:eastAsia="仿宋_GB2312" w:cs="Times New Roman"/>
                <w:kern w:val="0"/>
              </w:rPr>
            </w:pPr>
          </w:p>
        </w:tc>
        <w:tc>
          <w:tcPr>
            <w:tcW w:w="4022"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土木工程</w:t>
            </w:r>
          </w:p>
        </w:tc>
        <w:tc>
          <w:tcPr>
            <w:tcW w:w="288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1138</w:t>
            </w:r>
          </w:p>
        </w:tc>
      </w:tr>
      <w:tr>
        <w:tblPrEx>
          <w:tblCellMar>
            <w:top w:w="0" w:type="dxa"/>
            <w:left w:w="108" w:type="dxa"/>
            <w:bottom w:w="0" w:type="dxa"/>
            <w:right w:w="108" w:type="dxa"/>
          </w:tblCellMar>
        </w:tblPrEx>
        <w:trPr>
          <w:trHeight w:val="255" w:hRule="atLeast"/>
        </w:trPr>
        <w:tc>
          <w:tcPr>
            <w:tcW w:w="1156" w:type="dxa"/>
            <w:vMerge w:val="continue"/>
            <w:tcBorders>
              <w:left w:val="single" w:color="auto" w:sz="4" w:space="0"/>
              <w:right w:val="single" w:color="auto" w:sz="4" w:space="0"/>
            </w:tcBorders>
            <w:noWrap/>
            <w:vAlign w:val="center"/>
          </w:tcPr>
          <w:p>
            <w:pPr>
              <w:spacing w:line="380" w:lineRule="exact"/>
              <w:jc w:val="center"/>
              <w:rPr>
                <w:rFonts w:ascii="Times New Roman" w:hAnsi="Times New Roman" w:eastAsia="仿宋_GB2312" w:cs="Times New Roman"/>
                <w:kern w:val="0"/>
              </w:rPr>
            </w:pPr>
          </w:p>
        </w:tc>
        <w:tc>
          <w:tcPr>
            <w:tcW w:w="1157" w:type="dxa"/>
            <w:vMerge w:val="continue"/>
            <w:tcBorders>
              <w:left w:val="nil"/>
              <w:right w:val="single" w:color="auto" w:sz="4" w:space="0"/>
            </w:tcBorders>
            <w:noWrap/>
            <w:vAlign w:val="center"/>
          </w:tcPr>
          <w:p>
            <w:pPr>
              <w:spacing w:line="380" w:lineRule="exact"/>
              <w:jc w:val="center"/>
              <w:rPr>
                <w:rFonts w:ascii="Times New Roman" w:hAnsi="Times New Roman" w:eastAsia="仿宋_GB2312" w:cs="Times New Roman"/>
                <w:kern w:val="0"/>
              </w:rPr>
            </w:pPr>
          </w:p>
        </w:tc>
        <w:tc>
          <w:tcPr>
            <w:tcW w:w="4022"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给排水科学与工程</w:t>
            </w:r>
          </w:p>
        </w:tc>
        <w:tc>
          <w:tcPr>
            <w:tcW w:w="288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68</w:t>
            </w:r>
          </w:p>
        </w:tc>
      </w:tr>
      <w:tr>
        <w:tblPrEx>
          <w:tblCellMar>
            <w:top w:w="0" w:type="dxa"/>
            <w:left w:w="108" w:type="dxa"/>
            <w:bottom w:w="0" w:type="dxa"/>
            <w:right w:w="108" w:type="dxa"/>
          </w:tblCellMar>
        </w:tblPrEx>
        <w:trPr>
          <w:trHeight w:val="255" w:hRule="atLeast"/>
        </w:trPr>
        <w:tc>
          <w:tcPr>
            <w:tcW w:w="1156" w:type="dxa"/>
            <w:vMerge w:val="continue"/>
            <w:tcBorders>
              <w:left w:val="single" w:color="auto" w:sz="4" w:space="0"/>
              <w:right w:val="single" w:color="auto" w:sz="4" w:space="0"/>
            </w:tcBorders>
            <w:noWrap/>
            <w:vAlign w:val="center"/>
          </w:tcPr>
          <w:p>
            <w:pPr>
              <w:spacing w:line="380" w:lineRule="exact"/>
              <w:jc w:val="center"/>
              <w:rPr>
                <w:rFonts w:ascii="Times New Roman" w:hAnsi="Times New Roman" w:eastAsia="仿宋_GB2312" w:cs="Times New Roman"/>
                <w:kern w:val="0"/>
              </w:rPr>
            </w:pPr>
          </w:p>
        </w:tc>
        <w:tc>
          <w:tcPr>
            <w:tcW w:w="1157" w:type="dxa"/>
            <w:vMerge w:val="continue"/>
            <w:tcBorders>
              <w:left w:val="nil"/>
              <w:right w:val="single" w:color="auto" w:sz="4" w:space="0"/>
            </w:tcBorders>
            <w:noWrap/>
            <w:vAlign w:val="center"/>
          </w:tcPr>
          <w:p>
            <w:pPr>
              <w:spacing w:line="380" w:lineRule="exact"/>
              <w:jc w:val="center"/>
              <w:rPr>
                <w:rFonts w:ascii="Times New Roman" w:hAnsi="Times New Roman" w:eastAsia="仿宋_GB2312" w:cs="Times New Roman"/>
                <w:kern w:val="0"/>
              </w:rPr>
            </w:pPr>
          </w:p>
        </w:tc>
        <w:tc>
          <w:tcPr>
            <w:tcW w:w="4022"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建筑环境与能源应用工程</w:t>
            </w:r>
          </w:p>
        </w:tc>
        <w:tc>
          <w:tcPr>
            <w:tcW w:w="288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71</w:t>
            </w:r>
          </w:p>
        </w:tc>
      </w:tr>
      <w:tr>
        <w:tblPrEx>
          <w:tblCellMar>
            <w:top w:w="0" w:type="dxa"/>
            <w:left w:w="108" w:type="dxa"/>
            <w:bottom w:w="0" w:type="dxa"/>
            <w:right w:w="108" w:type="dxa"/>
          </w:tblCellMar>
        </w:tblPrEx>
        <w:trPr>
          <w:trHeight w:val="255" w:hRule="atLeast"/>
        </w:trPr>
        <w:tc>
          <w:tcPr>
            <w:tcW w:w="1156" w:type="dxa"/>
            <w:vMerge w:val="continue"/>
            <w:tcBorders>
              <w:left w:val="single" w:color="auto" w:sz="4" w:space="0"/>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1157" w:type="dxa"/>
            <w:vMerge w:val="continue"/>
            <w:tcBorders>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4022"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法学</w:t>
            </w:r>
          </w:p>
        </w:tc>
        <w:tc>
          <w:tcPr>
            <w:tcW w:w="288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54</w:t>
            </w:r>
          </w:p>
        </w:tc>
      </w:tr>
      <w:tr>
        <w:tblPrEx>
          <w:tblCellMar>
            <w:top w:w="0" w:type="dxa"/>
            <w:left w:w="108" w:type="dxa"/>
            <w:bottom w:w="0" w:type="dxa"/>
            <w:right w:w="108" w:type="dxa"/>
          </w:tblCellMar>
        </w:tblPrEx>
        <w:trPr>
          <w:trHeight w:val="255" w:hRule="atLeast"/>
        </w:trPr>
        <w:tc>
          <w:tcPr>
            <w:tcW w:w="1156" w:type="dxa"/>
            <w:vMerge w:val="restart"/>
            <w:tcBorders>
              <w:top w:val="nil"/>
              <w:left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高起本</w:t>
            </w:r>
          </w:p>
        </w:tc>
        <w:tc>
          <w:tcPr>
            <w:tcW w:w="1157" w:type="dxa"/>
            <w:vMerge w:val="restart"/>
            <w:tcBorders>
              <w:top w:val="nil"/>
              <w:left w:val="nil"/>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138</w:t>
            </w:r>
          </w:p>
        </w:tc>
        <w:tc>
          <w:tcPr>
            <w:tcW w:w="4022"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工商管理</w:t>
            </w:r>
          </w:p>
        </w:tc>
        <w:tc>
          <w:tcPr>
            <w:tcW w:w="288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35</w:t>
            </w:r>
          </w:p>
        </w:tc>
      </w:tr>
      <w:tr>
        <w:tblPrEx>
          <w:tblCellMar>
            <w:top w:w="0" w:type="dxa"/>
            <w:left w:w="108" w:type="dxa"/>
            <w:bottom w:w="0" w:type="dxa"/>
            <w:right w:w="108" w:type="dxa"/>
          </w:tblCellMar>
        </w:tblPrEx>
        <w:trPr>
          <w:trHeight w:val="255" w:hRule="atLeast"/>
        </w:trPr>
        <w:tc>
          <w:tcPr>
            <w:tcW w:w="1156" w:type="dxa"/>
            <w:vMerge w:val="continue"/>
            <w:tcBorders>
              <w:left w:val="single" w:color="auto" w:sz="4" w:space="0"/>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1157" w:type="dxa"/>
            <w:vMerge w:val="continue"/>
            <w:tcBorders>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4022"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土木工程</w:t>
            </w:r>
          </w:p>
        </w:tc>
        <w:tc>
          <w:tcPr>
            <w:tcW w:w="288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103</w:t>
            </w:r>
          </w:p>
        </w:tc>
      </w:tr>
      <w:tr>
        <w:tblPrEx>
          <w:tblCellMar>
            <w:top w:w="0" w:type="dxa"/>
            <w:left w:w="108" w:type="dxa"/>
            <w:bottom w:w="0" w:type="dxa"/>
            <w:right w:w="108" w:type="dxa"/>
          </w:tblCellMar>
        </w:tblPrEx>
        <w:trPr>
          <w:trHeight w:val="255" w:hRule="atLeast"/>
        </w:trPr>
        <w:tc>
          <w:tcPr>
            <w:tcW w:w="1156"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总计</w:t>
            </w:r>
          </w:p>
        </w:tc>
        <w:tc>
          <w:tcPr>
            <w:tcW w:w="1157"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2257</w:t>
            </w:r>
          </w:p>
        </w:tc>
        <w:tc>
          <w:tcPr>
            <w:tcW w:w="4022"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288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2257</w:t>
            </w:r>
          </w:p>
        </w:tc>
      </w:tr>
    </w:tbl>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center"/>
        <w:rPr>
          <w:rFonts w:hint="eastAsia" w:ascii="Times New Roman" w:hAnsi="Times New Roman" w:eastAsia="仿宋_GB2312" w:cs="仿宋_GB2312"/>
          <w:kern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center"/>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lang w:eastAsia="zh-CN"/>
        </w:rPr>
        <w:t>招生情况</w:t>
      </w:r>
    </w:p>
    <w:p>
      <w:pPr>
        <w:keepNext w:val="0"/>
        <w:keepLines w:val="0"/>
        <w:pageBreakBefore w:val="0"/>
        <w:kinsoku/>
        <w:wordWrap/>
        <w:overflowPunct/>
        <w:topLinePunct w:val="0"/>
        <w:autoSpaceDE/>
        <w:autoSpaceDN/>
        <w:bidi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2019</w:t>
      </w:r>
      <w:r>
        <w:rPr>
          <w:rFonts w:hint="eastAsia" w:ascii="Times New Roman" w:hAnsi="Times New Roman" w:eastAsia="仿宋_GB2312" w:cs="仿宋_GB2312"/>
          <w:kern w:val="0"/>
          <w:sz w:val="32"/>
          <w:szCs w:val="32"/>
        </w:rPr>
        <w:t>年共录取</w:t>
      </w:r>
      <w:r>
        <w:rPr>
          <w:rFonts w:ascii="Times New Roman" w:hAnsi="Times New Roman" w:eastAsia="仿宋_GB2312" w:cs="Times New Roman"/>
          <w:kern w:val="0"/>
          <w:sz w:val="32"/>
          <w:szCs w:val="32"/>
        </w:rPr>
        <w:t>1187</w:t>
      </w:r>
      <w:r>
        <w:rPr>
          <w:rFonts w:hint="eastAsia" w:ascii="Times New Roman" w:hAnsi="Times New Roman" w:eastAsia="仿宋_GB2312" w:cs="仿宋_GB2312"/>
          <w:kern w:val="0"/>
          <w:sz w:val="32"/>
          <w:szCs w:val="32"/>
        </w:rPr>
        <w:t>人，</w:t>
      </w:r>
      <w:r>
        <w:rPr>
          <w:rFonts w:ascii="Times New Roman" w:hAnsi="Times New Roman" w:eastAsia="仿宋_GB2312" w:cs="Times New Roman"/>
          <w:kern w:val="0"/>
          <w:sz w:val="32"/>
          <w:szCs w:val="32"/>
        </w:rPr>
        <w:t>2020</w:t>
      </w:r>
      <w:r>
        <w:rPr>
          <w:rFonts w:hint="eastAsia" w:ascii="Times New Roman" w:hAnsi="Times New Roman" w:eastAsia="仿宋_GB2312" w:cs="仿宋_GB2312"/>
          <w:kern w:val="0"/>
          <w:sz w:val="32"/>
          <w:szCs w:val="32"/>
        </w:rPr>
        <w:t>年学籍注册</w:t>
      </w:r>
      <w:r>
        <w:rPr>
          <w:rFonts w:ascii="Times New Roman" w:hAnsi="Times New Roman" w:eastAsia="仿宋_GB2312" w:cs="Times New Roman"/>
          <w:kern w:val="0"/>
          <w:sz w:val="32"/>
          <w:szCs w:val="32"/>
        </w:rPr>
        <w:t>1164</w:t>
      </w:r>
      <w:r>
        <w:rPr>
          <w:rFonts w:hint="eastAsia" w:ascii="Times New Roman" w:hAnsi="Times New Roman" w:eastAsia="仿宋_GB2312" w:cs="仿宋_GB2312"/>
          <w:kern w:val="0"/>
          <w:sz w:val="32"/>
          <w:szCs w:val="32"/>
        </w:rPr>
        <w:t>人，按层次和专业细分，如表</w:t>
      </w:r>
      <w:r>
        <w:rPr>
          <w:rFonts w:ascii="Times New Roman" w:hAnsi="Times New Roman" w:eastAsia="仿宋_GB2312" w:cs="Times New Roman"/>
          <w:kern w:val="0"/>
          <w:sz w:val="32"/>
          <w:szCs w:val="32"/>
        </w:rPr>
        <w:t>2</w:t>
      </w:r>
      <w:r>
        <w:rPr>
          <w:rFonts w:hint="eastAsia" w:ascii="Times New Roman" w:hAnsi="Times New Roman" w:eastAsia="仿宋_GB2312" w:cs="仿宋_GB2312"/>
          <w:kern w:val="0"/>
          <w:sz w:val="32"/>
          <w:szCs w:val="32"/>
        </w:rPr>
        <w:t>所示：</w:t>
      </w:r>
    </w:p>
    <w:p>
      <w:pPr>
        <w:snapToGrid w:val="0"/>
        <w:spacing w:line="600" w:lineRule="exact"/>
        <w:jc w:val="center"/>
        <w:rPr>
          <w:rFonts w:ascii="Times New Roman" w:hAnsi="楷体" w:eastAsia="楷体" w:cs="Times New Roman"/>
          <w:kern w:val="0"/>
          <w:sz w:val="30"/>
          <w:szCs w:val="30"/>
        </w:rPr>
      </w:pPr>
      <w:r>
        <w:rPr>
          <w:rFonts w:hint="eastAsia" w:ascii="Times New Roman" w:hAnsi="楷体" w:eastAsia="楷体" w:cs="楷体"/>
          <w:kern w:val="0"/>
          <w:sz w:val="30"/>
          <w:szCs w:val="30"/>
        </w:rPr>
        <w:t>表</w:t>
      </w:r>
      <w:r>
        <w:rPr>
          <w:rFonts w:ascii="Times New Roman" w:hAnsi="楷体" w:eastAsia="楷体" w:cs="Times New Roman"/>
          <w:kern w:val="0"/>
          <w:sz w:val="30"/>
          <w:szCs w:val="30"/>
        </w:rPr>
        <w:t>2    2020</w:t>
      </w:r>
      <w:r>
        <w:rPr>
          <w:rFonts w:hint="eastAsia" w:ascii="Times New Roman" w:hAnsi="楷体" w:eastAsia="楷体" w:cs="楷体"/>
          <w:kern w:val="0"/>
          <w:sz w:val="30"/>
          <w:szCs w:val="30"/>
        </w:rPr>
        <w:t>级新生学生数</w:t>
      </w:r>
    </w:p>
    <w:tbl>
      <w:tblPr>
        <w:tblStyle w:val="13"/>
        <w:tblW w:w="9025" w:type="dxa"/>
        <w:tblInd w:w="-106" w:type="dxa"/>
        <w:tblLayout w:type="autofit"/>
        <w:tblCellMar>
          <w:top w:w="0" w:type="dxa"/>
          <w:left w:w="108" w:type="dxa"/>
          <w:bottom w:w="0" w:type="dxa"/>
          <w:right w:w="108" w:type="dxa"/>
        </w:tblCellMar>
      </w:tblPr>
      <w:tblGrid>
        <w:gridCol w:w="1575"/>
        <w:gridCol w:w="1575"/>
        <w:gridCol w:w="4300"/>
        <w:gridCol w:w="1575"/>
      </w:tblGrid>
      <w:tr>
        <w:tblPrEx>
          <w:tblCellMar>
            <w:top w:w="0" w:type="dxa"/>
            <w:left w:w="108" w:type="dxa"/>
            <w:bottom w:w="0" w:type="dxa"/>
            <w:right w:w="108" w:type="dxa"/>
          </w:tblCellMar>
        </w:tblPrEx>
        <w:trPr>
          <w:trHeight w:val="255" w:hRule="atLeast"/>
        </w:trPr>
        <w:tc>
          <w:tcPr>
            <w:tcW w:w="1575"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层次</w:t>
            </w:r>
          </w:p>
        </w:tc>
        <w:tc>
          <w:tcPr>
            <w:tcW w:w="1575"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合计</w:t>
            </w:r>
          </w:p>
        </w:tc>
        <w:tc>
          <w:tcPr>
            <w:tcW w:w="4300"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专业</w:t>
            </w:r>
          </w:p>
        </w:tc>
        <w:tc>
          <w:tcPr>
            <w:tcW w:w="1575"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人数</w:t>
            </w:r>
          </w:p>
        </w:tc>
      </w:tr>
      <w:tr>
        <w:tblPrEx>
          <w:tblCellMar>
            <w:top w:w="0" w:type="dxa"/>
            <w:left w:w="108" w:type="dxa"/>
            <w:bottom w:w="0" w:type="dxa"/>
            <w:right w:w="108" w:type="dxa"/>
          </w:tblCellMar>
        </w:tblPrEx>
        <w:trPr>
          <w:trHeight w:val="255" w:hRule="atLeast"/>
        </w:trPr>
        <w:tc>
          <w:tcPr>
            <w:tcW w:w="1575" w:type="dxa"/>
            <w:vMerge w:val="restart"/>
            <w:tcBorders>
              <w:top w:val="nil"/>
              <w:left w:val="single" w:color="auto" w:sz="4" w:space="0"/>
              <w:bottom w:val="single" w:color="000000"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专升本</w:t>
            </w:r>
          </w:p>
        </w:tc>
        <w:tc>
          <w:tcPr>
            <w:tcW w:w="1575" w:type="dxa"/>
            <w:vMerge w:val="restart"/>
            <w:tcBorders>
              <w:top w:val="nil"/>
              <w:left w:val="single" w:color="auto" w:sz="4" w:space="0"/>
              <w:bottom w:val="single" w:color="000000"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1129</w:t>
            </w:r>
          </w:p>
        </w:tc>
        <w:tc>
          <w:tcPr>
            <w:tcW w:w="4300"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船舶与海洋工程</w:t>
            </w:r>
          </w:p>
        </w:tc>
        <w:tc>
          <w:tcPr>
            <w:tcW w:w="1575"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44</w:t>
            </w:r>
          </w:p>
        </w:tc>
      </w:tr>
      <w:tr>
        <w:tblPrEx>
          <w:tblCellMar>
            <w:top w:w="0" w:type="dxa"/>
            <w:left w:w="108" w:type="dxa"/>
            <w:bottom w:w="0" w:type="dxa"/>
            <w:right w:w="108" w:type="dxa"/>
          </w:tblCellMar>
        </w:tblPrEx>
        <w:trPr>
          <w:trHeight w:val="255" w:hRule="atLeast"/>
        </w:trPr>
        <w:tc>
          <w:tcPr>
            <w:tcW w:w="1575" w:type="dxa"/>
            <w:vMerge w:val="continue"/>
            <w:tcBorders>
              <w:top w:val="nil"/>
              <w:left w:val="single" w:color="auto" w:sz="4" w:space="0"/>
              <w:bottom w:val="single" w:color="000000" w:sz="4" w:space="0"/>
              <w:right w:val="single" w:color="auto" w:sz="4" w:space="0"/>
            </w:tcBorders>
            <w:vAlign w:val="center"/>
          </w:tcPr>
          <w:p>
            <w:pPr>
              <w:widowControl/>
              <w:spacing w:line="380" w:lineRule="exact"/>
              <w:jc w:val="center"/>
              <w:rPr>
                <w:rFonts w:ascii="Times New Roman" w:hAnsi="Times New Roman" w:eastAsia="仿宋_GB2312" w:cs="Times New Roman"/>
                <w:kern w:val="0"/>
              </w:rPr>
            </w:pPr>
          </w:p>
        </w:tc>
        <w:tc>
          <w:tcPr>
            <w:tcW w:w="1575" w:type="dxa"/>
            <w:vMerge w:val="continue"/>
            <w:tcBorders>
              <w:top w:val="nil"/>
              <w:left w:val="single" w:color="auto" w:sz="4" w:space="0"/>
              <w:bottom w:val="single" w:color="000000" w:sz="4" w:space="0"/>
              <w:right w:val="single" w:color="auto" w:sz="4" w:space="0"/>
            </w:tcBorders>
            <w:vAlign w:val="center"/>
          </w:tcPr>
          <w:p>
            <w:pPr>
              <w:widowControl/>
              <w:spacing w:line="380" w:lineRule="exact"/>
              <w:jc w:val="center"/>
              <w:rPr>
                <w:rFonts w:ascii="Times New Roman" w:hAnsi="Times New Roman" w:eastAsia="仿宋_GB2312" w:cs="Times New Roman"/>
                <w:kern w:val="0"/>
              </w:rPr>
            </w:pPr>
          </w:p>
        </w:tc>
        <w:tc>
          <w:tcPr>
            <w:tcW w:w="4300"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机械设计制造及其自动化</w:t>
            </w:r>
          </w:p>
        </w:tc>
        <w:tc>
          <w:tcPr>
            <w:tcW w:w="1575"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72</w:t>
            </w:r>
          </w:p>
        </w:tc>
      </w:tr>
      <w:tr>
        <w:tblPrEx>
          <w:tblCellMar>
            <w:top w:w="0" w:type="dxa"/>
            <w:left w:w="108" w:type="dxa"/>
            <w:bottom w:w="0" w:type="dxa"/>
            <w:right w:w="108" w:type="dxa"/>
          </w:tblCellMar>
        </w:tblPrEx>
        <w:trPr>
          <w:trHeight w:val="255" w:hRule="atLeast"/>
        </w:trPr>
        <w:tc>
          <w:tcPr>
            <w:tcW w:w="1575" w:type="dxa"/>
            <w:vMerge w:val="continue"/>
            <w:tcBorders>
              <w:top w:val="nil"/>
              <w:left w:val="single" w:color="auto" w:sz="4" w:space="0"/>
              <w:bottom w:val="single" w:color="000000" w:sz="4" w:space="0"/>
              <w:right w:val="single" w:color="auto" w:sz="4" w:space="0"/>
            </w:tcBorders>
            <w:vAlign w:val="center"/>
          </w:tcPr>
          <w:p>
            <w:pPr>
              <w:widowControl/>
              <w:spacing w:line="380" w:lineRule="exact"/>
              <w:jc w:val="center"/>
              <w:rPr>
                <w:rFonts w:ascii="Times New Roman" w:hAnsi="Times New Roman" w:eastAsia="仿宋_GB2312" w:cs="Times New Roman"/>
                <w:kern w:val="0"/>
              </w:rPr>
            </w:pPr>
          </w:p>
        </w:tc>
        <w:tc>
          <w:tcPr>
            <w:tcW w:w="1575" w:type="dxa"/>
            <w:vMerge w:val="continue"/>
            <w:tcBorders>
              <w:top w:val="nil"/>
              <w:left w:val="single" w:color="auto" w:sz="4" w:space="0"/>
              <w:bottom w:val="single" w:color="000000" w:sz="4" w:space="0"/>
              <w:right w:val="single" w:color="auto" w:sz="4" w:space="0"/>
            </w:tcBorders>
            <w:vAlign w:val="center"/>
          </w:tcPr>
          <w:p>
            <w:pPr>
              <w:widowControl/>
              <w:spacing w:line="380" w:lineRule="exact"/>
              <w:jc w:val="center"/>
              <w:rPr>
                <w:rFonts w:ascii="Times New Roman" w:hAnsi="Times New Roman" w:eastAsia="仿宋_GB2312" w:cs="Times New Roman"/>
                <w:kern w:val="0"/>
              </w:rPr>
            </w:pPr>
          </w:p>
        </w:tc>
        <w:tc>
          <w:tcPr>
            <w:tcW w:w="4300"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工商管理</w:t>
            </w:r>
          </w:p>
        </w:tc>
        <w:tc>
          <w:tcPr>
            <w:tcW w:w="1575"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182</w:t>
            </w:r>
          </w:p>
        </w:tc>
      </w:tr>
      <w:tr>
        <w:tblPrEx>
          <w:tblCellMar>
            <w:top w:w="0" w:type="dxa"/>
            <w:left w:w="108" w:type="dxa"/>
            <w:bottom w:w="0" w:type="dxa"/>
            <w:right w:w="108" w:type="dxa"/>
          </w:tblCellMar>
        </w:tblPrEx>
        <w:trPr>
          <w:trHeight w:val="255" w:hRule="atLeast"/>
        </w:trPr>
        <w:tc>
          <w:tcPr>
            <w:tcW w:w="1575" w:type="dxa"/>
            <w:vMerge w:val="continue"/>
            <w:tcBorders>
              <w:top w:val="nil"/>
              <w:left w:val="single" w:color="auto" w:sz="4" w:space="0"/>
              <w:bottom w:val="single" w:color="000000" w:sz="4" w:space="0"/>
              <w:right w:val="single" w:color="auto" w:sz="4" w:space="0"/>
            </w:tcBorders>
            <w:vAlign w:val="center"/>
          </w:tcPr>
          <w:p>
            <w:pPr>
              <w:widowControl/>
              <w:spacing w:line="380" w:lineRule="exact"/>
              <w:jc w:val="center"/>
              <w:rPr>
                <w:rFonts w:ascii="Times New Roman" w:hAnsi="Times New Roman" w:eastAsia="仿宋_GB2312" w:cs="Times New Roman"/>
                <w:kern w:val="0"/>
              </w:rPr>
            </w:pPr>
          </w:p>
        </w:tc>
        <w:tc>
          <w:tcPr>
            <w:tcW w:w="1575" w:type="dxa"/>
            <w:vMerge w:val="continue"/>
            <w:tcBorders>
              <w:top w:val="nil"/>
              <w:left w:val="single" w:color="auto" w:sz="4" w:space="0"/>
              <w:bottom w:val="single" w:color="000000" w:sz="4" w:space="0"/>
              <w:right w:val="single" w:color="auto" w:sz="4" w:space="0"/>
            </w:tcBorders>
            <w:vAlign w:val="center"/>
          </w:tcPr>
          <w:p>
            <w:pPr>
              <w:widowControl/>
              <w:spacing w:line="380" w:lineRule="exact"/>
              <w:jc w:val="center"/>
              <w:rPr>
                <w:rFonts w:ascii="Times New Roman" w:hAnsi="Times New Roman" w:eastAsia="仿宋_GB2312" w:cs="Times New Roman"/>
                <w:kern w:val="0"/>
              </w:rPr>
            </w:pPr>
          </w:p>
        </w:tc>
        <w:tc>
          <w:tcPr>
            <w:tcW w:w="4300"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轮机工程</w:t>
            </w:r>
          </w:p>
        </w:tc>
        <w:tc>
          <w:tcPr>
            <w:tcW w:w="1575"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4</w:t>
            </w:r>
          </w:p>
        </w:tc>
      </w:tr>
      <w:tr>
        <w:tblPrEx>
          <w:tblCellMar>
            <w:top w:w="0" w:type="dxa"/>
            <w:left w:w="108" w:type="dxa"/>
            <w:bottom w:w="0" w:type="dxa"/>
            <w:right w:w="108" w:type="dxa"/>
          </w:tblCellMar>
        </w:tblPrEx>
        <w:trPr>
          <w:trHeight w:val="255" w:hRule="atLeast"/>
        </w:trPr>
        <w:tc>
          <w:tcPr>
            <w:tcW w:w="1575" w:type="dxa"/>
            <w:vMerge w:val="continue"/>
            <w:tcBorders>
              <w:top w:val="nil"/>
              <w:left w:val="single" w:color="auto" w:sz="4" w:space="0"/>
              <w:bottom w:val="single" w:color="000000" w:sz="4" w:space="0"/>
              <w:right w:val="single" w:color="auto" w:sz="4" w:space="0"/>
            </w:tcBorders>
            <w:vAlign w:val="center"/>
          </w:tcPr>
          <w:p>
            <w:pPr>
              <w:widowControl/>
              <w:spacing w:line="380" w:lineRule="exact"/>
              <w:jc w:val="center"/>
              <w:rPr>
                <w:rFonts w:ascii="Times New Roman" w:hAnsi="Times New Roman" w:eastAsia="仿宋_GB2312" w:cs="Times New Roman"/>
                <w:kern w:val="0"/>
              </w:rPr>
            </w:pPr>
          </w:p>
        </w:tc>
        <w:tc>
          <w:tcPr>
            <w:tcW w:w="1575" w:type="dxa"/>
            <w:vMerge w:val="continue"/>
            <w:tcBorders>
              <w:top w:val="nil"/>
              <w:left w:val="single" w:color="auto" w:sz="4" w:space="0"/>
              <w:bottom w:val="single" w:color="000000" w:sz="4" w:space="0"/>
              <w:right w:val="single" w:color="auto" w:sz="4" w:space="0"/>
            </w:tcBorders>
            <w:vAlign w:val="center"/>
          </w:tcPr>
          <w:p>
            <w:pPr>
              <w:widowControl/>
              <w:spacing w:line="380" w:lineRule="exact"/>
              <w:jc w:val="center"/>
              <w:rPr>
                <w:rFonts w:ascii="Times New Roman" w:hAnsi="Times New Roman" w:eastAsia="仿宋_GB2312" w:cs="Times New Roman"/>
                <w:kern w:val="0"/>
              </w:rPr>
            </w:pPr>
          </w:p>
        </w:tc>
        <w:tc>
          <w:tcPr>
            <w:tcW w:w="4300"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电气工程及其自动化</w:t>
            </w:r>
          </w:p>
        </w:tc>
        <w:tc>
          <w:tcPr>
            <w:tcW w:w="1575"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143</w:t>
            </w:r>
          </w:p>
        </w:tc>
      </w:tr>
      <w:tr>
        <w:tblPrEx>
          <w:tblCellMar>
            <w:top w:w="0" w:type="dxa"/>
            <w:left w:w="108" w:type="dxa"/>
            <w:bottom w:w="0" w:type="dxa"/>
            <w:right w:w="108" w:type="dxa"/>
          </w:tblCellMar>
        </w:tblPrEx>
        <w:trPr>
          <w:trHeight w:val="255" w:hRule="atLeast"/>
        </w:trPr>
        <w:tc>
          <w:tcPr>
            <w:tcW w:w="1575" w:type="dxa"/>
            <w:vMerge w:val="continue"/>
            <w:tcBorders>
              <w:top w:val="nil"/>
              <w:left w:val="single" w:color="auto" w:sz="4" w:space="0"/>
              <w:bottom w:val="single" w:color="000000" w:sz="4" w:space="0"/>
              <w:right w:val="single" w:color="auto" w:sz="4" w:space="0"/>
            </w:tcBorders>
            <w:vAlign w:val="center"/>
          </w:tcPr>
          <w:p>
            <w:pPr>
              <w:widowControl/>
              <w:spacing w:line="380" w:lineRule="exact"/>
              <w:jc w:val="center"/>
              <w:rPr>
                <w:rFonts w:ascii="Times New Roman" w:hAnsi="Times New Roman" w:eastAsia="仿宋_GB2312" w:cs="Times New Roman"/>
                <w:kern w:val="0"/>
              </w:rPr>
            </w:pPr>
          </w:p>
        </w:tc>
        <w:tc>
          <w:tcPr>
            <w:tcW w:w="1575" w:type="dxa"/>
            <w:vMerge w:val="continue"/>
            <w:tcBorders>
              <w:top w:val="nil"/>
              <w:left w:val="single" w:color="auto" w:sz="4" w:space="0"/>
              <w:bottom w:val="single" w:color="000000" w:sz="4" w:space="0"/>
              <w:right w:val="single" w:color="auto" w:sz="4" w:space="0"/>
            </w:tcBorders>
            <w:vAlign w:val="center"/>
          </w:tcPr>
          <w:p>
            <w:pPr>
              <w:widowControl/>
              <w:spacing w:line="380" w:lineRule="exact"/>
              <w:jc w:val="center"/>
              <w:rPr>
                <w:rFonts w:ascii="Times New Roman" w:hAnsi="Times New Roman" w:eastAsia="仿宋_GB2312" w:cs="Times New Roman"/>
                <w:kern w:val="0"/>
              </w:rPr>
            </w:pPr>
          </w:p>
        </w:tc>
        <w:tc>
          <w:tcPr>
            <w:tcW w:w="4300"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土木工程</w:t>
            </w:r>
          </w:p>
        </w:tc>
        <w:tc>
          <w:tcPr>
            <w:tcW w:w="1575"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594</w:t>
            </w:r>
          </w:p>
        </w:tc>
      </w:tr>
      <w:tr>
        <w:tblPrEx>
          <w:tblCellMar>
            <w:top w:w="0" w:type="dxa"/>
            <w:left w:w="108" w:type="dxa"/>
            <w:bottom w:w="0" w:type="dxa"/>
            <w:right w:w="108" w:type="dxa"/>
          </w:tblCellMar>
        </w:tblPrEx>
        <w:trPr>
          <w:trHeight w:val="255" w:hRule="atLeast"/>
        </w:trPr>
        <w:tc>
          <w:tcPr>
            <w:tcW w:w="1575" w:type="dxa"/>
            <w:vMerge w:val="continue"/>
            <w:tcBorders>
              <w:top w:val="nil"/>
              <w:left w:val="single" w:color="auto" w:sz="4" w:space="0"/>
              <w:bottom w:val="single" w:color="000000" w:sz="4" w:space="0"/>
              <w:right w:val="single" w:color="auto" w:sz="4" w:space="0"/>
            </w:tcBorders>
            <w:vAlign w:val="center"/>
          </w:tcPr>
          <w:p>
            <w:pPr>
              <w:widowControl/>
              <w:spacing w:line="380" w:lineRule="exact"/>
              <w:jc w:val="center"/>
              <w:rPr>
                <w:rFonts w:ascii="Times New Roman" w:hAnsi="Times New Roman" w:eastAsia="仿宋_GB2312" w:cs="Times New Roman"/>
                <w:kern w:val="0"/>
              </w:rPr>
            </w:pPr>
          </w:p>
        </w:tc>
        <w:tc>
          <w:tcPr>
            <w:tcW w:w="1575" w:type="dxa"/>
            <w:vMerge w:val="continue"/>
            <w:tcBorders>
              <w:top w:val="nil"/>
              <w:left w:val="single" w:color="auto" w:sz="4" w:space="0"/>
              <w:bottom w:val="single" w:color="000000" w:sz="4" w:space="0"/>
              <w:right w:val="single" w:color="auto" w:sz="4" w:space="0"/>
            </w:tcBorders>
            <w:vAlign w:val="center"/>
          </w:tcPr>
          <w:p>
            <w:pPr>
              <w:widowControl/>
              <w:spacing w:line="380" w:lineRule="exact"/>
              <w:jc w:val="center"/>
              <w:rPr>
                <w:rFonts w:ascii="Times New Roman" w:hAnsi="Times New Roman" w:eastAsia="仿宋_GB2312" w:cs="Times New Roman"/>
                <w:kern w:val="0"/>
              </w:rPr>
            </w:pPr>
          </w:p>
        </w:tc>
        <w:tc>
          <w:tcPr>
            <w:tcW w:w="4300"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法学</w:t>
            </w:r>
          </w:p>
        </w:tc>
        <w:tc>
          <w:tcPr>
            <w:tcW w:w="1575"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18</w:t>
            </w:r>
          </w:p>
        </w:tc>
      </w:tr>
      <w:tr>
        <w:tblPrEx>
          <w:tblCellMar>
            <w:top w:w="0" w:type="dxa"/>
            <w:left w:w="108" w:type="dxa"/>
            <w:bottom w:w="0" w:type="dxa"/>
            <w:right w:w="108" w:type="dxa"/>
          </w:tblCellMar>
        </w:tblPrEx>
        <w:trPr>
          <w:trHeight w:val="255" w:hRule="atLeast"/>
        </w:trPr>
        <w:tc>
          <w:tcPr>
            <w:tcW w:w="1575" w:type="dxa"/>
            <w:vMerge w:val="continue"/>
            <w:tcBorders>
              <w:top w:val="nil"/>
              <w:left w:val="single" w:color="auto" w:sz="4" w:space="0"/>
              <w:bottom w:val="single" w:color="000000" w:sz="4" w:space="0"/>
              <w:right w:val="single" w:color="auto" w:sz="4" w:space="0"/>
            </w:tcBorders>
            <w:vAlign w:val="center"/>
          </w:tcPr>
          <w:p>
            <w:pPr>
              <w:widowControl/>
              <w:spacing w:line="380" w:lineRule="exact"/>
              <w:jc w:val="center"/>
              <w:rPr>
                <w:rFonts w:ascii="Times New Roman" w:hAnsi="Times New Roman" w:eastAsia="仿宋_GB2312" w:cs="Times New Roman"/>
                <w:kern w:val="0"/>
              </w:rPr>
            </w:pPr>
          </w:p>
        </w:tc>
        <w:tc>
          <w:tcPr>
            <w:tcW w:w="1575" w:type="dxa"/>
            <w:vMerge w:val="continue"/>
            <w:tcBorders>
              <w:top w:val="nil"/>
              <w:left w:val="single" w:color="auto" w:sz="4" w:space="0"/>
              <w:bottom w:val="single" w:color="000000" w:sz="4" w:space="0"/>
              <w:right w:val="single" w:color="auto" w:sz="4" w:space="0"/>
            </w:tcBorders>
            <w:vAlign w:val="center"/>
          </w:tcPr>
          <w:p>
            <w:pPr>
              <w:widowControl/>
              <w:spacing w:line="380" w:lineRule="exact"/>
              <w:jc w:val="center"/>
              <w:rPr>
                <w:rFonts w:ascii="Times New Roman" w:hAnsi="Times New Roman" w:eastAsia="仿宋_GB2312" w:cs="Times New Roman"/>
                <w:kern w:val="0"/>
              </w:rPr>
            </w:pPr>
          </w:p>
        </w:tc>
        <w:tc>
          <w:tcPr>
            <w:tcW w:w="4300"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给排水科学与工程</w:t>
            </w:r>
          </w:p>
        </w:tc>
        <w:tc>
          <w:tcPr>
            <w:tcW w:w="1575"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34</w:t>
            </w:r>
          </w:p>
        </w:tc>
      </w:tr>
      <w:tr>
        <w:tblPrEx>
          <w:tblCellMar>
            <w:top w:w="0" w:type="dxa"/>
            <w:left w:w="108" w:type="dxa"/>
            <w:bottom w:w="0" w:type="dxa"/>
            <w:right w:w="108" w:type="dxa"/>
          </w:tblCellMar>
        </w:tblPrEx>
        <w:trPr>
          <w:trHeight w:val="255" w:hRule="atLeast"/>
        </w:trPr>
        <w:tc>
          <w:tcPr>
            <w:tcW w:w="1575" w:type="dxa"/>
            <w:vMerge w:val="continue"/>
            <w:tcBorders>
              <w:top w:val="nil"/>
              <w:left w:val="single" w:color="auto" w:sz="4" w:space="0"/>
              <w:bottom w:val="single" w:color="000000" w:sz="4" w:space="0"/>
              <w:right w:val="single" w:color="auto" w:sz="4" w:space="0"/>
            </w:tcBorders>
            <w:vAlign w:val="center"/>
          </w:tcPr>
          <w:p>
            <w:pPr>
              <w:widowControl/>
              <w:spacing w:line="380" w:lineRule="exact"/>
              <w:jc w:val="center"/>
              <w:rPr>
                <w:rFonts w:ascii="Times New Roman" w:hAnsi="Times New Roman" w:eastAsia="仿宋_GB2312" w:cs="Times New Roman"/>
                <w:kern w:val="0"/>
              </w:rPr>
            </w:pPr>
          </w:p>
        </w:tc>
        <w:tc>
          <w:tcPr>
            <w:tcW w:w="1575" w:type="dxa"/>
            <w:vMerge w:val="continue"/>
            <w:tcBorders>
              <w:top w:val="nil"/>
              <w:left w:val="single" w:color="auto" w:sz="4" w:space="0"/>
              <w:bottom w:val="single" w:color="000000" w:sz="4" w:space="0"/>
              <w:right w:val="single" w:color="auto" w:sz="4" w:space="0"/>
            </w:tcBorders>
            <w:vAlign w:val="center"/>
          </w:tcPr>
          <w:p>
            <w:pPr>
              <w:widowControl/>
              <w:spacing w:line="380" w:lineRule="exact"/>
              <w:jc w:val="center"/>
              <w:rPr>
                <w:rFonts w:ascii="Times New Roman" w:hAnsi="Times New Roman" w:eastAsia="仿宋_GB2312" w:cs="Times New Roman"/>
                <w:kern w:val="0"/>
              </w:rPr>
            </w:pPr>
          </w:p>
        </w:tc>
        <w:tc>
          <w:tcPr>
            <w:tcW w:w="4300"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建筑环境与设备工程</w:t>
            </w:r>
          </w:p>
        </w:tc>
        <w:tc>
          <w:tcPr>
            <w:tcW w:w="1575"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38</w:t>
            </w:r>
          </w:p>
        </w:tc>
      </w:tr>
      <w:tr>
        <w:tblPrEx>
          <w:tblCellMar>
            <w:top w:w="0" w:type="dxa"/>
            <w:left w:w="108" w:type="dxa"/>
            <w:bottom w:w="0" w:type="dxa"/>
            <w:right w:w="108" w:type="dxa"/>
          </w:tblCellMar>
        </w:tblPrEx>
        <w:trPr>
          <w:trHeight w:val="255" w:hRule="atLeast"/>
        </w:trPr>
        <w:tc>
          <w:tcPr>
            <w:tcW w:w="1575" w:type="dxa"/>
            <w:vMerge w:val="restart"/>
            <w:tcBorders>
              <w:top w:val="nil"/>
              <w:left w:val="single" w:color="auto" w:sz="4" w:space="0"/>
              <w:bottom w:val="single" w:color="000000"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高起本</w:t>
            </w:r>
          </w:p>
        </w:tc>
        <w:tc>
          <w:tcPr>
            <w:tcW w:w="1575" w:type="dxa"/>
            <w:vMerge w:val="restart"/>
            <w:tcBorders>
              <w:top w:val="nil"/>
              <w:left w:val="single" w:color="auto" w:sz="4" w:space="0"/>
              <w:bottom w:val="single" w:color="000000"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35</w:t>
            </w:r>
          </w:p>
        </w:tc>
        <w:tc>
          <w:tcPr>
            <w:tcW w:w="4300"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土木工程</w:t>
            </w:r>
          </w:p>
        </w:tc>
        <w:tc>
          <w:tcPr>
            <w:tcW w:w="1575"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23</w:t>
            </w:r>
          </w:p>
        </w:tc>
      </w:tr>
      <w:tr>
        <w:tblPrEx>
          <w:tblCellMar>
            <w:top w:w="0" w:type="dxa"/>
            <w:left w:w="108" w:type="dxa"/>
            <w:bottom w:w="0" w:type="dxa"/>
            <w:right w:w="108" w:type="dxa"/>
          </w:tblCellMar>
        </w:tblPrEx>
        <w:trPr>
          <w:trHeight w:val="255" w:hRule="atLeast"/>
        </w:trPr>
        <w:tc>
          <w:tcPr>
            <w:tcW w:w="1575" w:type="dxa"/>
            <w:vMerge w:val="continue"/>
            <w:tcBorders>
              <w:top w:val="nil"/>
              <w:left w:val="single" w:color="auto" w:sz="4" w:space="0"/>
              <w:bottom w:val="single" w:color="000000" w:sz="4" w:space="0"/>
              <w:right w:val="single" w:color="auto" w:sz="4" w:space="0"/>
            </w:tcBorders>
            <w:vAlign w:val="center"/>
          </w:tcPr>
          <w:p>
            <w:pPr>
              <w:widowControl/>
              <w:spacing w:line="380" w:lineRule="exact"/>
              <w:jc w:val="center"/>
              <w:rPr>
                <w:rFonts w:ascii="Times New Roman" w:hAnsi="Times New Roman" w:eastAsia="仿宋_GB2312" w:cs="Times New Roman"/>
                <w:kern w:val="0"/>
              </w:rPr>
            </w:pPr>
          </w:p>
        </w:tc>
        <w:tc>
          <w:tcPr>
            <w:tcW w:w="1575" w:type="dxa"/>
            <w:vMerge w:val="continue"/>
            <w:tcBorders>
              <w:top w:val="nil"/>
              <w:left w:val="single" w:color="auto" w:sz="4" w:space="0"/>
              <w:bottom w:val="single" w:color="000000" w:sz="4" w:space="0"/>
              <w:right w:val="single" w:color="auto" w:sz="4" w:space="0"/>
            </w:tcBorders>
            <w:vAlign w:val="center"/>
          </w:tcPr>
          <w:p>
            <w:pPr>
              <w:widowControl/>
              <w:spacing w:line="380" w:lineRule="exact"/>
              <w:jc w:val="center"/>
              <w:rPr>
                <w:rFonts w:ascii="Times New Roman" w:hAnsi="Times New Roman" w:eastAsia="仿宋_GB2312" w:cs="Times New Roman"/>
                <w:kern w:val="0"/>
              </w:rPr>
            </w:pPr>
          </w:p>
        </w:tc>
        <w:tc>
          <w:tcPr>
            <w:tcW w:w="4300"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工商管理</w:t>
            </w:r>
          </w:p>
        </w:tc>
        <w:tc>
          <w:tcPr>
            <w:tcW w:w="1575"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12</w:t>
            </w:r>
          </w:p>
        </w:tc>
      </w:tr>
      <w:tr>
        <w:tblPrEx>
          <w:tblCellMar>
            <w:top w:w="0" w:type="dxa"/>
            <w:left w:w="108" w:type="dxa"/>
            <w:bottom w:w="0" w:type="dxa"/>
            <w:right w:w="108" w:type="dxa"/>
          </w:tblCellMar>
        </w:tblPrEx>
        <w:trPr>
          <w:trHeight w:val="255" w:hRule="atLeast"/>
        </w:trPr>
        <w:tc>
          <w:tcPr>
            <w:tcW w:w="1575"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总计</w:t>
            </w:r>
          </w:p>
        </w:tc>
        <w:tc>
          <w:tcPr>
            <w:tcW w:w="1575"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1164</w:t>
            </w:r>
          </w:p>
        </w:tc>
        <w:tc>
          <w:tcPr>
            <w:tcW w:w="4300"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575"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1164</w:t>
            </w:r>
          </w:p>
        </w:tc>
      </w:tr>
    </w:tbl>
    <w:p>
      <w:pPr>
        <w:spacing w:line="600" w:lineRule="exact"/>
        <w:ind w:firstLine="640" w:firstLineChars="200"/>
        <w:rPr>
          <w:rFonts w:ascii="Times New Roman" w:hAnsi="Times New Roman" w:eastAsia="仿宋_GB2312" w:cs="Times New Roman"/>
          <w:kern w:val="0"/>
          <w:sz w:val="32"/>
          <w:szCs w:val="32"/>
        </w:rPr>
      </w:pPr>
    </w:p>
    <w:p>
      <w:pPr>
        <w:numPr>
          <w:ilvl w:val="0"/>
          <w:numId w:val="0"/>
        </w:numPr>
        <w:spacing w:line="60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3.毕业情况</w:t>
      </w:r>
    </w:p>
    <w:p>
      <w:pPr>
        <w:numPr>
          <w:ilvl w:val="0"/>
          <w:numId w:val="0"/>
        </w:numPr>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2020</w:t>
      </w:r>
      <w:r>
        <w:rPr>
          <w:rFonts w:hint="eastAsia" w:ascii="Times New Roman" w:hAnsi="Times New Roman" w:eastAsia="仿宋_GB2312" w:cs="仿宋_GB2312"/>
          <w:kern w:val="0"/>
          <w:sz w:val="32"/>
          <w:szCs w:val="32"/>
        </w:rPr>
        <w:t>届高等学历继续教育毕业生人数共计</w:t>
      </w:r>
      <w:r>
        <w:rPr>
          <w:rFonts w:ascii="Times New Roman" w:hAnsi="Times New Roman" w:eastAsia="仿宋_GB2312" w:cs="Times New Roman"/>
          <w:kern w:val="0"/>
          <w:sz w:val="32"/>
          <w:szCs w:val="32"/>
        </w:rPr>
        <w:t>706</w:t>
      </w:r>
      <w:r>
        <w:rPr>
          <w:rFonts w:hint="eastAsia" w:ascii="Times New Roman" w:hAnsi="Times New Roman" w:eastAsia="仿宋_GB2312" w:cs="仿宋_GB2312"/>
          <w:kern w:val="0"/>
          <w:sz w:val="32"/>
          <w:szCs w:val="32"/>
        </w:rPr>
        <w:t>人，其中专科人数为</w:t>
      </w:r>
      <w:r>
        <w:rPr>
          <w:rFonts w:ascii="Times New Roman" w:hAnsi="Times New Roman" w:eastAsia="仿宋_GB2312" w:cs="Times New Roman"/>
          <w:kern w:val="0"/>
          <w:sz w:val="32"/>
          <w:szCs w:val="32"/>
        </w:rPr>
        <w:t>6</w:t>
      </w:r>
      <w:r>
        <w:rPr>
          <w:rFonts w:hint="eastAsia" w:ascii="Times New Roman" w:hAnsi="Times New Roman" w:eastAsia="仿宋_GB2312" w:cs="仿宋_GB2312"/>
          <w:kern w:val="0"/>
          <w:sz w:val="32"/>
          <w:szCs w:val="32"/>
        </w:rPr>
        <w:t>人，本科生人数为</w:t>
      </w:r>
      <w:r>
        <w:rPr>
          <w:rFonts w:ascii="Times New Roman" w:hAnsi="Times New Roman" w:eastAsia="仿宋_GB2312" w:cs="Times New Roman"/>
          <w:kern w:val="0"/>
          <w:sz w:val="32"/>
          <w:szCs w:val="32"/>
        </w:rPr>
        <w:t>700</w:t>
      </w:r>
      <w:r>
        <w:rPr>
          <w:rFonts w:hint="eastAsia" w:ascii="Times New Roman" w:hAnsi="Times New Roman" w:eastAsia="仿宋_GB2312" w:cs="仿宋_GB2312"/>
          <w:kern w:val="0"/>
          <w:sz w:val="32"/>
          <w:szCs w:val="32"/>
        </w:rPr>
        <w:t>人，</w:t>
      </w:r>
      <w:r>
        <w:rPr>
          <w:rFonts w:ascii="Times New Roman" w:hAnsi="Times New Roman" w:eastAsia="仿宋_GB2312" w:cs="Times New Roman"/>
          <w:kern w:val="0"/>
          <w:sz w:val="32"/>
          <w:szCs w:val="32"/>
        </w:rPr>
        <w:t>2020</w:t>
      </w:r>
      <w:r>
        <w:rPr>
          <w:rFonts w:hint="eastAsia" w:ascii="Times New Roman" w:hAnsi="Times New Roman" w:eastAsia="仿宋_GB2312" w:cs="仿宋_GB2312"/>
          <w:kern w:val="0"/>
          <w:sz w:val="32"/>
          <w:szCs w:val="32"/>
        </w:rPr>
        <w:t>届高等学历继续教育毕业生分专业、分层次学生数如表</w:t>
      </w:r>
      <w:r>
        <w:rPr>
          <w:rFonts w:ascii="Times New Roman" w:hAnsi="Times New Roman" w:eastAsia="仿宋_GB2312" w:cs="Times New Roman"/>
          <w:kern w:val="0"/>
          <w:sz w:val="32"/>
          <w:szCs w:val="32"/>
        </w:rPr>
        <w:t>3</w:t>
      </w:r>
      <w:r>
        <w:rPr>
          <w:rFonts w:hint="eastAsia" w:ascii="Times New Roman" w:hAnsi="Times New Roman" w:eastAsia="仿宋_GB2312" w:cs="仿宋_GB2312"/>
          <w:kern w:val="0"/>
          <w:sz w:val="32"/>
          <w:szCs w:val="32"/>
        </w:rPr>
        <w:t>所示：</w:t>
      </w:r>
    </w:p>
    <w:p>
      <w:pPr>
        <w:snapToGrid w:val="0"/>
        <w:spacing w:line="600" w:lineRule="exact"/>
        <w:jc w:val="center"/>
        <w:rPr>
          <w:rFonts w:ascii="Times New Roman" w:hAnsi="楷体" w:eastAsia="楷体" w:cs="Times New Roman"/>
          <w:kern w:val="0"/>
          <w:sz w:val="30"/>
          <w:szCs w:val="30"/>
        </w:rPr>
      </w:pPr>
      <w:r>
        <w:rPr>
          <w:rFonts w:hint="eastAsia" w:ascii="Times New Roman" w:hAnsi="楷体" w:eastAsia="楷体" w:cs="楷体"/>
          <w:kern w:val="0"/>
          <w:sz w:val="30"/>
          <w:szCs w:val="30"/>
        </w:rPr>
        <w:t>表</w:t>
      </w:r>
      <w:r>
        <w:rPr>
          <w:rFonts w:ascii="Times New Roman" w:hAnsi="楷体" w:eastAsia="楷体" w:cs="Times New Roman"/>
          <w:kern w:val="0"/>
          <w:sz w:val="30"/>
          <w:szCs w:val="30"/>
        </w:rPr>
        <w:t xml:space="preserve">3    </w:t>
      </w:r>
      <w:r>
        <w:rPr>
          <w:rFonts w:hint="eastAsia" w:ascii="Times New Roman" w:hAnsi="楷体" w:eastAsia="楷体" w:cs="楷体"/>
          <w:kern w:val="0"/>
          <w:sz w:val="30"/>
          <w:szCs w:val="30"/>
        </w:rPr>
        <w:t>毕业生学生数</w:t>
      </w:r>
    </w:p>
    <w:tbl>
      <w:tblPr>
        <w:tblStyle w:val="13"/>
        <w:tblW w:w="9091" w:type="dxa"/>
        <w:tblInd w:w="-106" w:type="dxa"/>
        <w:tblLayout w:type="autofit"/>
        <w:tblCellMar>
          <w:top w:w="0" w:type="dxa"/>
          <w:left w:w="108" w:type="dxa"/>
          <w:bottom w:w="0" w:type="dxa"/>
          <w:right w:w="108" w:type="dxa"/>
        </w:tblCellMar>
      </w:tblPr>
      <w:tblGrid>
        <w:gridCol w:w="1139"/>
        <w:gridCol w:w="1139"/>
        <w:gridCol w:w="3964"/>
        <w:gridCol w:w="2849"/>
      </w:tblGrid>
      <w:tr>
        <w:tblPrEx>
          <w:tblCellMar>
            <w:top w:w="0" w:type="dxa"/>
            <w:left w:w="108" w:type="dxa"/>
            <w:bottom w:w="0" w:type="dxa"/>
            <w:right w:w="108" w:type="dxa"/>
          </w:tblCellMar>
        </w:tblPrEx>
        <w:trPr>
          <w:trHeight w:val="258" w:hRule="atLeast"/>
        </w:trPr>
        <w:tc>
          <w:tcPr>
            <w:tcW w:w="11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Times New Roman"/>
                <w:kern w:val="0"/>
                <w:sz w:val="20"/>
                <w:szCs w:val="20"/>
              </w:rPr>
            </w:pPr>
            <w:r>
              <w:rPr>
                <w:rFonts w:hint="eastAsia" w:ascii="宋体" w:hAnsi="宋体" w:cs="宋体"/>
                <w:kern w:val="0"/>
                <w:sz w:val="20"/>
                <w:szCs w:val="20"/>
              </w:rPr>
              <w:t>层次</w:t>
            </w:r>
          </w:p>
        </w:tc>
        <w:tc>
          <w:tcPr>
            <w:tcW w:w="1139" w:type="dxa"/>
            <w:tcBorders>
              <w:top w:val="single" w:color="auto" w:sz="4" w:space="0"/>
              <w:left w:val="nil"/>
              <w:bottom w:val="single" w:color="auto" w:sz="4" w:space="0"/>
              <w:right w:val="single" w:color="auto" w:sz="4" w:space="0"/>
            </w:tcBorders>
            <w:noWrap/>
            <w:vAlign w:val="center"/>
          </w:tcPr>
          <w:p>
            <w:pPr>
              <w:widowControl/>
              <w:jc w:val="center"/>
              <w:rPr>
                <w:rFonts w:ascii="宋体" w:cs="Times New Roman"/>
                <w:kern w:val="0"/>
                <w:sz w:val="20"/>
                <w:szCs w:val="20"/>
              </w:rPr>
            </w:pPr>
            <w:r>
              <w:rPr>
                <w:rFonts w:hint="eastAsia" w:ascii="宋体" w:hAnsi="宋体" w:cs="宋体"/>
                <w:kern w:val="0"/>
                <w:sz w:val="20"/>
                <w:szCs w:val="20"/>
              </w:rPr>
              <w:t>合计</w:t>
            </w:r>
          </w:p>
        </w:tc>
        <w:tc>
          <w:tcPr>
            <w:tcW w:w="3964" w:type="dxa"/>
            <w:tcBorders>
              <w:top w:val="single" w:color="auto" w:sz="4" w:space="0"/>
              <w:left w:val="nil"/>
              <w:bottom w:val="single" w:color="auto" w:sz="4" w:space="0"/>
              <w:right w:val="single" w:color="auto" w:sz="4" w:space="0"/>
            </w:tcBorders>
            <w:noWrap/>
            <w:vAlign w:val="center"/>
          </w:tcPr>
          <w:p>
            <w:pPr>
              <w:widowControl/>
              <w:jc w:val="center"/>
              <w:rPr>
                <w:rFonts w:ascii="Arial" w:hAnsi="Arial" w:cs="Arial"/>
                <w:kern w:val="0"/>
                <w:sz w:val="20"/>
                <w:szCs w:val="20"/>
              </w:rPr>
            </w:pPr>
            <w:r>
              <w:rPr>
                <w:rFonts w:hint="eastAsia" w:ascii="Arial" w:hAnsi="Arial" w:cs="宋体"/>
                <w:kern w:val="0"/>
                <w:sz w:val="20"/>
                <w:szCs w:val="20"/>
              </w:rPr>
              <w:t>专业</w:t>
            </w:r>
          </w:p>
        </w:tc>
        <w:tc>
          <w:tcPr>
            <w:tcW w:w="2849" w:type="dxa"/>
            <w:tcBorders>
              <w:top w:val="single" w:color="auto" w:sz="4" w:space="0"/>
              <w:left w:val="nil"/>
              <w:bottom w:val="single" w:color="auto" w:sz="4" w:space="0"/>
              <w:right w:val="single" w:color="auto" w:sz="4" w:space="0"/>
            </w:tcBorders>
            <w:noWrap/>
            <w:vAlign w:val="center"/>
          </w:tcPr>
          <w:p>
            <w:pPr>
              <w:widowControl/>
              <w:jc w:val="center"/>
              <w:rPr>
                <w:rFonts w:ascii="Arial" w:hAnsi="Arial" w:cs="Arial"/>
                <w:kern w:val="0"/>
                <w:sz w:val="20"/>
                <w:szCs w:val="20"/>
              </w:rPr>
            </w:pPr>
            <w:r>
              <w:rPr>
                <w:rFonts w:hint="eastAsia" w:ascii="Arial" w:hAnsi="Arial" w:cs="宋体"/>
                <w:kern w:val="0"/>
                <w:sz w:val="20"/>
                <w:szCs w:val="20"/>
              </w:rPr>
              <w:t>毕业学生数</w:t>
            </w:r>
          </w:p>
        </w:tc>
      </w:tr>
      <w:tr>
        <w:tblPrEx>
          <w:tblCellMar>
            <w:top w:w="0" w:type="dxa"/>
            <w:left w:w="108" w:type="dxa"/>
            <w:bottom w:w="0" w:type="dxa"/>
            <w:right w:w="108" w:type="dxa"/>
          </w:tblCellMar>
        </w:tblPrEx>
        <w:trPr>
          <w:trHeight w:val="258" w:hRule="atLeast"/>
        </w:trPr>
        <w:tc>
          <w:tcPr>
            <w:tcW w:w="1139" w:type="dxa"/>
            <w:vMerge w:val="restart"/>
            <w:tcBorders>
              <w:top w:val="nil"/>
              <w:left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高起专</w:t>
            </w:r>
          </w:p>
        </w:tc>
        <w:tc>
          <w:tcPr>
            <w:tcW w:w="1139" w:type="dxa"/>
            <w:vMerge w:val="restart"/>
            <w:tcBorders>
              <w:top w:val="nil"/>
              <w:left w:val="nil"/>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6</w:t>
            </w:r>
          </w:p>
        </w:tc>
        <w:tc>
          <w:tcPr>
            <w:tcW w:w="3964"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工商企业管理</w:t>
            </w:r>
          </w:p>
        </w:tc>
        <w:tc>
          <w:tcPr>
            <w:tcW w:w="284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3</w:t>
            </w:r>
          </w:p>
        </w:tc>
      </w:tr>
      <w:tr>
        <w:tblPrEx>
          <w:tblCellMar>
            <w:top w:w="0" w:type="dxa"/>
            <w:left w:w="108" w:type="dxa"/>
            <w:bottom w:w="0" w:type="dxa"/>
            <w:right w:w="108" w:type="dxa"/>
          </w:tblCellMar>
        </w:tblPrEx>
        <w:trPr>
          <w:trHeight w:val="258" w:hRule="atLeast"/>
        </w:trPr>
        <w:tc>
          <w:tcPr>
            <w:tcW w:w="1139" w:type="dxa"/>
            <w:vMerge w:val="continue"/>
            <w:tcBorders>
              <w:left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1139" w:type="dxa"/>
            <w:vMerge w:val="continue"/>
            <w:tcBorders>
              <w:left w:val="nil"/>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3964"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计算机应用技术</w:t>
            </w:r>
          </w:p>
        </w:tc>
        <w:tc>
          <w:tcPr>
            <w:tcW w:w="284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1</w:t>
            </w:r>
          </w:p>
        </w:tc>
      </w:tr>
      <w:tr>
        <w:tblPrEx>
          <w:tblCellMar>
            <w:top w:w="0" w:type="dxa"/>
            <w:left w:w="108" w:type="dxa"/>
            <w:bottom w:w="0" w:type="dxa"/>
            <w:right w:w="108" w:type="dxa"/>
          </w:tblCellMar>
        </w:tblPrEx>
        <w:trPr>
          <w:trHeight w:val="258" w:hRule="atLeast"/>
        </w:trPr>
        <w:tc>
          <w:tcPr>
            <w:tcW w:w="1139" w:type="dxa"/>
            <w:vMerge w:val="continue"/>
            <w:tcBorders>
              <w:left w:val="single" w:color="auto" w:sz="4" w:space="0"/>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1139" w:type="dxa"/>
            <w:vMerge w:val="continue"/>
            <w:tcBorders>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3964"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金融学</w:t>
            </w:r>
          </w:p>
        </w:tc>
        <w:tc>
          <w:tcPr>
            <w:tcW w:w="284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2</w:t>
            </w:r>
          </w:p>
        </w:tc>
      </w:tr>
      <w:tr>
        <w:tblPrEx>
          <w:tblCellMar>
            <w:top w:w="0" w:type="dxa"/>
            <w:left w:w="108" w:type="dxa"/>
            <w:bottom w:w="0" w:type="dxa"/>
            <w:right w:w="108" w:type="dxa"/>
          </w:tblCellMar>
        </w:tblPrEx>
        <w:trPr>
          <w:trHeight w:val="258" w:hRule="atLeast"/>
        </w:trPr>
        <w:tc>
          <w:tcPr>
            <w:tcW w:w="1139" w:type="dxa"/>
            <w:vMerge w:val="restart"/>
            <w:tcBorders>
              <w:top w:val="nil"/>
              <w:left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专升本</w:t>
            </w:r>
          </w:p>
        </w:tc>
        <w:tc>
          <w:tcPr>
            <w:tcW w:w="1139" w:type="dxa"/>
            <w:vMerge w:val="restart"/>
            <w:tcBorders>
              <w:top w:val="nil"/>
              <w:left w:val="nil"/>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684</w:t>
            </w:r>
          </w:p>
        </w:tc>
        <w:tc>
          <w:tcPr>
            <w:tcW w:w="3964"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船舶与海洋工程</w:t>
            </w:r>
          </w:p>
        </w:tc>
        <w:tc>
          <w:tcPr>
            <w:tcW w:w="284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8</w:t>
            </w:r>
          </w:p>
        </w:tc>
      </w:tr>
      <w:tr>
        <w:tblPrEx>
          <w:tblCellMar>
            <w:top w:w="0" w:type="dxa"/>
            <w:left w:w="108" w:type="dxa"/>
            <w:bottom w:w="0" w:type="dxa"/>
            <w:right w:w="108" w:type="dxa"/>
          </w:tblCellMar>
        </w:tblPrEx>
        <w:trPr>
          <w:trHeight w:val="258" w:hRule="atLeast"/>
        </w:trPr>
        <w:tc>
          <w:tcPr>
            <w:tcW w:w="1139" w:type="dxa"/>
            <w:vMerge w:val="continue"/>
            <w:tcBorders>
              <w:left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1139" w:type="dxa"/>
            <w:vMerge w:val="continue"/>
            <w:tcBorders>
              <w:left w:val="nil"/>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3964"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机械设计制造及其自动化</w:t>
            </w:r>
          </w:p>
        </w:tc>
        <w:tc>
          <w:tcPr>
            <w:tcW w:w="284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9</w:t>
            </w:r>
          </w:p>
        </w:tc>
      </w:tr>
      <w:tr>
        <w:tblPrEx>
          <w:tblCellMar>
            <w:top w:w="0" w:type="dxa"/>
            <w:left w:w="108" w:type="dxa"/>
            <w:bottom w:w="0" w:type="dxa"/>
            <w:right w:w="108" w:type="dxa"/>
          </w:tblCellMar>
        </w:tblPrEx>
        <w:trPr>
          <w:trHeight w:val="258" w:hRule="atLeast"/>
        </w:trPr>
        <w:tc>
          <w:tcPr>
            <w:tcW w:w="1139" w:type="dxa"/>
            <w:vMerge w:val="continue"/>
            <w:tcBorders>
              <w:left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1139" w:type="dxa"/>
            <w:vMerge w:val="continue"/>
            <w:tcBorders>
              <w:left w:val="nil"/>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3964"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工商管理</w:t>
            </w:r>
          </w:p>
        </w:tc>
        <w:tc>
          <w:tcPr>
            <w:tcW w:w="284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100</w:t>
            </w:r>
          </w:p>
        </w:tc>
      </w:tr>
      <w:tr>
        <w:tblPrEx>
          <w:tblCellMar>
            <w:top w:w="0" w:type="dxa"/>
            <w:left w:w="108" w:type="dxa"/>
            <w:bottom w:w="0" w:type="dxa"/>
            <w:right w:w="108" w:type="dxa"/>
          </w:tblCellMar>
        </w:tblPrEx>
        <w:trPr>
          <w:trHeight w:val="258" w:hRule="atLeast"/>
        </w:trPr>
        <w:tc>
          <w:tcPr>
            <w:tcW w:w="1139" w:type="dxa"/>
            <w:vMerge w:val="continue"/>
            <w:tcBorders>
              <w:left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1139" w:type="dxa"/>
            <w:vMerge w:val="continue"/>
            <w:tcBorders>
              <w:left w:val="nil"/>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3964"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轮机工程</w:t>
            </w:r>
          </w:p>
        </w:tc>
        <w:tc>
          <w:tcPr>
            <w:tcW w:w="284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4</w:t>
            </w:r>
          </w:p>
        </w:tc>
      </w:tr>
      <w:tr>
        <w:tblPrEx>
          <w:tblCellMar>
            <w:top w:w="0" w:type="dxa"/>
            <w:left w:w="108" w:type="dxa"/>
            <w:bottom w:w="0" w:type="dxa"/>
            <w:right w:w="108" w:type="dxa"/>
          </w:tblCellMar>
        </w:tblPrEx>
        <w:trPr>
          <w:trHeight w:val="258" w:hRule="atLeast"/>
        </w:trPr>
        <w:tc>
          <w:tcPr>
            <w:tcW w:w="1139" w:type="dxa"/>
            <w:vMerge w:val="continue"/>
            <w:tcBorders>
              <w:left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1139" w:type="dxa"/>
            <w:vMerge w:val="continue"/>
            <w:tcBorders>
              <w:left w:val="nil"/>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3964"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能源与动力工程</w:t>
            </w:r>
          </w:p>
        </w:tc>
        <w:tc>
          <w:tcPr>
            <w:tcW w:w="284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9</w:t>
            </w:r>
          </w:p>
        </w:tc>
      </w:tr>
      <w:tr>
        <w:tblPrEx>
          <w:tblCellMar>
            <w:top w:w="0" w:type="dxa"/>
            <w:left w:w="108" w:type="dxa"/>
            <w:bottom w:w="0" w:type="dxa"/>
            <w:right w:w="108" w:type="dxa"/>
          </w:tblCellMar>
        </w:tblPrEx>
        <w:trPr>
          <w:trHeight w:val="258" w:hRule="atLeast"/>
        </w:trPr>
        <w:tc>
          <w:tcPr>
            <w:tcW w:w="1139" w:type="dxa"/>
            <w:vMerge w:val="continue"/>
            <w:tcBorders>
              <w:left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1139" w:type="dxa"/>
            <w:vMerge w:val="continue"/>
            <w:tcBorders>
              <w:left w:val="nil"/>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3964"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电气工程及其自动化</w:t>
            </w:r>
          </w:p>
        </w:tc>
        <w:tc>
          <w:tcPr>
            <w:tcW w:w="284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34</w:t>
            </w:r>
          </w:p>
        </w:tc>
      </w:tr>
      <w:tr>
        <w:tblPrEx>
          <w:tblCellMar>
            <w:top w:w="0" w:type="dxa"/>
            <w:left w:w="108" w:type="dxa"/>
            <w:bottom w:w="0" w:type="dxa"/>
            <w:right w:w="108" w:type="dxa"/>
          </w:tblCellMar>
        </w:tblPrEx>
        <w:trPr>
          <w:trHeight w:val="258" w:hRule="atLeast"/>
        </w:trPr>
        <w:tc>
          <w:tcPr>
            <w:tcW w:w="1139" w:type="dxa"/>
            <w:vMerge w:val="continue"/>
            <w:tcBorders>
              <w:left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1139" w:type="dxa"/>
            <w:vMerge w:val="continue"/>
            <w:tcBorders>
              <w:left w:val="nil"/>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3964"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土木工程</w:t>
            </w:r>
          </w:p>
        </w:tc>
        <w:tc>
          <w:tcPr>
            <w:tcW w:w="284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420</w:t>
            </w:r>
          </w:p>
        </w:tc>
      </w:tr>
      <w:tr>
        <w:tblPrEx>
          <w:tblCellMar>
            <w:top w:w="0" w:type="dxa"/>
            <w:left w:w="108" w:type="dxa"/>
            <w:bottom w:w="0" w:type="dxa"/>
            <w:right w:w="108" w:type="dxa"/>
          </w:tblCellMar>
        </w:tblPrEx>
        <w:trPr>
          <w:trHeight w:val="258" w:hRule="atLeast"/>
        </w:trPr>
        <w:tc>
          <w:tcPr>
            <w:tcW w:w="1139" w:type="dxa"/>
            <w:vMerge w:val="continue"/>
            <w:tcBorders>
              <w:left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1139" w:type="dxa"/>
            <w:vMerge w:val="continue"/>
            <w:tcBorders>
              <w:left w:val="nil"/>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3964"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给排水科学与工程</w:t>
            </w:r>
          </w:p>
        </w:tc>
        <w:tc>
          <w:tcPr>
            <w:tcW w:w="284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55</w:t>
            </w:r>
          </w:p>
        </w:tc>
      </w:tr>
      <w:tr>
        <w:tblPrEx>
          <w:tblCellMar>
            <w:top w:w="0" w:type="dxa"/>
            <w:left w:w="108" w:type="dxa"/>
            <w:bottom w:w="0" w:type="dxa"/>
            <w:right w:w="108" w:type="dxa"/>
          </w:tblCellMar>
        </w:tblPrEx>
        <w:trPr>
          <w:trHeight w:val="258" w:hRule="atLeast"/>
        </w:trPr>
        <w:tc>
          <w:tcPr>
            <w:tcW w:w="1139" w:type="dxa"/>
            <w:vMerge w:val="continue"/>
            <w:tcBorders>
              <w:left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1139" w:type="dxa"/>
            <w:vMerge w:val="continue"/>
            <w:tcBorders>
              <w:left w:val="nil"/>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3964"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建筑环境与能源应用工程</w:t>
            </w:r>
          </w:p>
        </w:tc>
        <w:tc>
          <w:tcPr>
            <w:tcW w:w="284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36</w:t>
            </w:r>
          </w:p>
        </w:tc>
      </w:tr>
      <w:tr>
        <w:tblPrEx>
          <w:tblCellMar>
            <w:top w:w="0" w:type="dxa"/>
            <w:left w:w="108" w:type="dxa"/>
            <w:bottom w:w="0" w:type="dxa"/>
            <w:right w:w="108" w:type="dxa"/>
          </w:tblCellMar>
        </w:tblPrEx>
        <w:trPr>
          <w:trHeight w:val="258" w:hRule="atLeast"/>
        </w:trPr>
        <w:tc>
          <w:tcPr>
            <w:tcW w:w="1139" w:type="dxa"/>
            <w:vMerge w:val="continue"/>
            <w:tcBorders>
              <w:left w:val="single" w:color="auto" w:sz="4" w:space="0"/>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1139" w:type="dxa"/>
            <w:vMerge w:val="continue"/>
            <w:tcBorders>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3964"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法学</w:t>
            </w:r>
          </w:p>
        </w:tc>
        <w:tc>
          <w:tcPr>
            <w:tcW w:w="284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9</w:t>
            </w:r>
          </w:p>
        </w:tc>
      </w:tr>
      <w:tr>
        <w:tblPrEx>
          <w:tblCellMar>
            <w:top w:w="0" w:type="dxa"/>
            <w:left w:w="108" w:type="dxa"/>
            <w:bottom w:w="0" w:type="dxa"/>
            <w:right w:w="108" w:type="dxa"/>
          </w:tblCellMar>
        </w:tblPrEx>
        <w:trPr>
          <w:trHeight w:val="258" w:hRule="atLeast"/>
        </w:trPr>
        <w:tc>
          <w:tcPr>
            <w:tcW w:w="1139" w:type="dxa"/>
            <w:vMerge w:val="restart"/>
            <w:tcBorders>
              <w:top w:val="nil"/>
              <w:left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高起本</w:t>
            </w:r>
          </w:p>
        </w:tc>
        <w:tc>
          <w:tcPr>
            <w:tcW w:w="1139" w:type="dxa"/>
            <w:vMerge w:val="restart"/>
            <w:tcBorders>
              <w:top w:val="nil"/>
              <w:left w:val="nil"/>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16</w:t>
            </w:r>
          </w:p>
        </w:tc>
        <w:tc>
          <w:tcPr>
            <w:tcW w:w="3964"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工商管理</w:t>
            </w:r>
          </w:p>
        </w:tc>
        <w:tc>
          <w:tcPr>
            <w:tcW w:w="284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4</w:t>
            </w:r>
          </w:p>
        </w:tc>
      </w:tr>
      <w:tr>
        <w:tblPrEx>
          <w:tblCellMar>
            <w:top w:w="0" w:type="dxa"/>
            <w:left w:w="108" w:type="dxa"/>
            <w:bottom w:w="0" w:type="dxa"/>
            <w:right w:w="108" w:type="dxa"/>
          </w:tblCellMar>
        </w:tblPrEx>
        <w:trPr>
          <w:trHeight w:val="258" w:hRule="atLeast"/>
        </w:trPr>
        <w:tc>
          <w:tcPr>
            <w:tcW w:w="1139" w:type="dxa"/>
            <w:vMerge w:val="continue"/>
            <w:tcBorders>
              <w:left w:val="single" w:color="auto" w:sz="4" w:space="0"/>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1139" w:type="dxa"/>
            <w:vMerge w:val="continue"/>
            <w:tcBorders>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3964"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土木工程</w:t>
            </w:r>
          </w:p>
        </w:tc>
        <w:tc>
          <w:tcPr>
            <w:tcW w:w="284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12</w:t>
            </w:r>
          </w:p>
        </w:tc>
      </w:tr>
      <w:tr>
        <w:tblPrEx>
          <w:tblCellMar>
            <w:top w:w="0" w:type="dxa"/>
            <w:left w:w="108" w:type="dxa"/>
            <w:bottom w:w="0" w:type="dxa"/>
            <w:right w:w="108" w:type="dxa"/>
          </w:tblCellMar>
        </w:tblPrEx>
        <w:trPr>
          <w:trHeight w:val="258" w:hRule="atLeast"/>
        </w:trPr>
        <w:tc>
          <w:tcPr>
            <w:tcW w:w="1139"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hint="eastAsia" w:ascii="Times New Roman" w:hAnsi="Times New Roman" w:eastAsia="仿宋_GB2312" w:cs="仿宋_GB2312"/>
                <w:kern w:val="0"/>
              </w:rPr>
              <w:t>总计</w:t>
            </w:r>
          </w:p>
        </w:tc>
        <w:tc>
          <w:tcPr>
            <w:tcW w:w="113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706</w:t>
            </w:r>
          </w:p>
        </w:tc>
        <w:tc>
          <w:tcPr>
            <w:tcW w:w="3964"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p>
        </w:tc>
        <w:tc>
          <w:tcPr>
            <w:tcW w:w="2849" w:type="dxa"/>
            <w:tcBorders>
              <w:top w:val="nil"/>
              <w:left w:val="nil"/>
              <w:bottom w:val="single" w:color="auto" w:sz="4" w:space="0"/>
              <w:right w:val="single" w:color="auto" w:sz="4" w:space="0"/>
            </w:tcBorders>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706</w:t>
            </w:r>
          </w:p>
        </w:tc>
      </w:tr>
    </w:tbl>
    <w:p>
      <w:pPr>
        <w:spacing w:line="520" w:lineRule="exact"/>
        <w:ind w:firstLine="602" w:firstLineChars="200"/>
        <w:rPr>
          <w:rFonts w:ascii="Times New Roman" w:hAnsi="Times New Roman" w:eastAsia="仿宋_GB2312" w:cs="Times New Roman"/>
          <w:b/>
          <w:kern w:val="0"/>
          <w:sz w:val="30"/>
          <w:szCs w:val="30"/>
        </w:rPr>
      </w:pPr>
    </w:p>
    <w:p>
      <w:pPr>
        <w:pStyle w:val="35"/>
        <w:ind w:firstLine="643" w:firstLineChars="200"/>
        <w:rPr>
          <w:rFonts w:ascii="Times New Roman" w:hAnsi="Times New Roman" w:eastAsia="楷体_GB2312" w:cs="Times New Roman"/>
          <w:kern w:val="2"/>
        </w:rPr>
      </w:pPr>
      <w:r>
        <w:rPr>
          <w:rFonts w:ascii="Times New Roman" w:hAnsi="Times New Roman" w:eastAsia="楷体_GB2312" w:cs="Times New Roman"/>
          <w:kern w:val="2"/>
        </w:rPr>
        <w:t>（二）非学历继续教育情况</w:t>
      </w:r>
    </w:p>
    <w:p>
      <w:pPr>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1.总体规模</w:t>
      </w:r>
    </w:p>
    <w:p>
      <w:pPr>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哈尔滨工程大学非学历继续教育开办全日制职业教育培训、出国留学培训、短期培训等多种办学形式。其中，职业教育包括：航空服务、航空机电设备维修、虚拟化技术、软件工程、互联网金融等专业；出国留学培训包括：</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英澳2+2</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本科、日本本科预科；短期培训主要为企事业单位定制专题培训班以及证书考试培训。</w:t>
      </w:r>
    </w:p>
    <w:p>
      <w:pPr>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办学过程中始终坚持培训面向国际化，发展多种形式的继续教育国际合作交流</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提升继续教育办学层次。充分发挥学校教育资源优势，配合企业</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走出去</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开展继续教育培训。积极推进以行业岗位需求为人才培养目标的非学历教育培训项目。具体情况如</w:t>
      </w:r>
      <w:r>
        <w:rPr>
          <w:rFonts w:hint="eastAsia" w:ascii="Times New Roman" w:hAnsi="Times New Roman" w:eastAsia="仿宋_GB2312" w:cs="Times New Roman"/>
          <w:kern w:val="0"/>
          <w:sz w:val="32"/>
          <w:szCs w:val="32"/>
        </w:rPr>
        <w:t>表4、表5所示</w:t>
      </w:r>
      <w:r>
        <w:rPr>
          <w:rFonts w:ascii="Times New Roman" w:hAnsi="Times New Roman" w:eastAsia="仿宋_GB2312" w:cs="Times New Roman"/>
          <w:kern w:val="0"/>
          <w:sz w:val="32"/>
          <w:szCs w:val="32"/>
        </w:rPr>
        <w:t>：</w:t>
      </w:r>
    </w:p>
    <w:p>
      <w:pPr>
        <w:snapToGrid w:val="0"/>
        <w:spacing w:line="600" w:lineRule="exact"/>
        <w:jc w:val="center"/>
        <w:rPr>
          <w:rFonts w:ascii="Times New Roman" w:hAnsi="Times New Roman" w:eastAsia="楷体" w:cs="Times New Roman"/>
          <w:kern w:val="0"/>
          <w:sz w:val="30"/>
          <w:szCs w:val="30"/>
        </w:rPr>
      </w:pPr>
      <w:r>
        <w:rPr>
          <w:rFonts w:ascii="Times New Roman" w:hAnsi="楷体" w:eastAsia="楷体" w:cs="Times New Roman"/>
          <w:kern w:val="0"/>
          <w:sz w:val="30"/>
          <w:szCs w:val="30"/>
        </w:rPr>
        <w:t>表</w:t>
      </w:r>
      <w:r>
        <w:rPr>
          <w:rFonts w:hint="eastAsia" w:ascii="Times New Roman" w:hAnsi="Times New Roman" w:eastAsia="楷体" w:cs="Times New Roman"/>
          <w:kern w:val="0"/>
          <w:sz w:val="30"/>
          <w:szCs w:val="30"/>
        </w:rPr>
        <w:t>4</w:t>
      </w:r>
      <w:r>
        <w:rPr>
          <w:rFonts w:ascii="Times New Roman" w:hAnsi="Times New Roman" w:eastAsia="楷体" w:cs="Times New Roman"/>
          <w:kern w:val="0"/>
          <w:sz w:val="30"/>
          <w:szCs w:val="30"/>
        </w:rPr>
        <w:t xml:space="preserve">    在校</w:t>
      </w:r>
      <w:r>
        <w:rPr>
          <w:rFonts w:ascii="Times New Roman" w:hAnsi="楷体" w:eastAsia="楷体" w:cs="Times New Roman"/>
          <w:kern w:val="0"/>
          <w:sz w:val="30"/>
          <w:szCs w:val="30"/>
        </w:rPr>
        <w:t>职业培训人数统计表</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2978"/>
        <w:gridCol w:w="2835"/>
        <w:gridCol w:w="2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shd w:val="clear" w:color="auto" w:fill="auto"/>
            <w:noWrap/>
            <w:vAlign w:val="center"/>
          </w:tcPr>
          <w:p>
            <w:pPr>
              <w:widowControl/>
              <w:snapToGrid w:val="0"/>
              <w:spacing w:line="380" w:lineRule="exact"/>
              <w:jc w:val="center"/>
              <w:rPr>
                <w:rFonts w:ascii="Times New Roman" w:hAnsi="Times New Roman" w:eastAsia="仿宋_GB2312" w:cs="Times New Roman"/>
                <w:b/>
                <w:bCs/>
                <w:kern w:val="0"/>
              </w:rPr>
            </w:pPr>
            <w:r>
              <w:rPr>
                <w:rFonts w:ascii="Times New Roman" w:hAnsi="Times New Roman" w:eastAsia="仿宋_GB2312" w:cs="Times New Roman"/>
                <w:b/>
                <w:bCs/>
                <w:kern w:val="0"/>
              </w:rPr>
              <w:t>序号</w:t>
            </w:r>
          </w:p>
        </w:tc>
        <w:tc>
          <w:tcPr>
            <w:tcW w:w="1614" w:type="pct"/>
            <w:shd w:val="clear" w:color="auto" w:fill="auto"/>
            <w:noWrap/>
            <w:vAlign w:val="center"/>
          </w:tcPr>
          <w:p>
            <w:pPr>
              <w:widowControl/>
              <w:snapToGrid w:val="0"/>
              <w:spacing w:line="380" w:lineRule="exact"/>
              <w:jc w:val="center"/>
              <w:rPr>
                <w:rFonts w:ascii="Times New Roman" w:hAnsi="Times New Roman" w:eastAsia="仿宋_GB2312" w:cs="Times New Roman"/>
                <w:b/>
                <w:bCs/>
                <w:kern w:val="0"/>
              </w:rPr>
            </w:pPr>
            <w:r>
              <w:rPr>
                <w:rFonts w:ascii="Times New Roman" w:hAnsi="Times New Roman" w:eastAsia="仿宋_GB2312" w:cs="Times New Roman"/>
                <w:b/>
                <w:bCs/>
                <w:kern w:val="0"/>
              </w:rPr>
              <w:t>专业</w:t>
            </w:r>
          </w:p>
        </w:tc>
        <w:tc>
          <w:tcPr>
            <w:tcW w:w="1537" w:type="pct"/>
            <w:shd w:val="clear" w:color="auto" w:fill="auto"/>
            <w:noWrap/>
            <w:vAlign w:val="center"/>
          </w:tcPr>
          <w:p>
            <w:pPr>
              <w:widowControl/>
              <w:snapToGrid w:val="0"/>
              <w:spacing w:line="380" w:lineRule="exact"/>
              <w:jc w:val="center"/>
              <w:rPr>
                <w:rFonts w:ascii="Times New Roman" w:hAnsi="Times New Roman" w:eastAsia="仿宋_GB2312" w:cs="Times New Roman"/>
                <w:b/>
                <w:bCs/>
                <w:kern w:val="0"/>
              </w:rPr>
            </w:pPr>
            <w:r>
              <w:rPr>
                <w:rFonts w:ascii="Times New Roman" w:hAnsi="Times New Roman" w:eastAsia="仿宋_GB2312" w:cs="Times New Roman"/>
                <w:b/>
                <w:bCs/>
                <w:kern w:val="0"/>
              </w:rPr>
              <w:t>入学时间</w:t>
            </w:r>
          </w:p>
        </w:tc>
        <w:tc>
          <w:tcPr>
            <w:tcW w:w="1407" w:type="pct"/>
            <w:shd w:val="clear" w:color="auto" w:fill="auto"/>
            <w:noWrap/>
            <w:vAlign w:val="center"/>
          </w:tcPr>
          <w:p>
            <w:pPr>
              <w:widowControl/>
              <w:snapToGrid w:val="0"/>
              <w:spacing w:line="380" w:lineRule="exact"/>
              <w:jc w:val="center"/>
              <w:rPr>
                <w:rFonts w:ascii="Times New Roman" w:hAnsi="Times New Roman" w:eastAsia="仿宋_GB2312" w:cs="Times New Roman"/>
                <w:b/>
                <w:bCs/>
                <w:kern w:val="0"/>
              </w:rPr>
            </w:pPr>
            <w:r>
              <w:rPr>
                <w:rFonts w:ascii="Times New Roman" w:hAnsi="Times New Roman" w:eastAsia="仿宋_GB2312" w:cs="Times New Roman"/>
                <w:b/>
                <w:bCs/>
                <w:kern w:val="0"/>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restar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1</w:t>
            </w:r>
          </w:p>
        </w:tc>
        <w:tc>
          <w:tcPr>
            <w:tcW w:w="1614" w:type="pct"/>
            <w:vMerge w:val="restar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航空服务与管理</w:t>
            </w:r>
          </w:p>
        </w:tc>
        <w:tc>
          <w:tcPr>
            <w:tcW w:w="1537" w:type="pc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2018年3月</w:t>
            </w:r>
          </w:p>
        </w:tc>
        <w:tc>
          <w:tcPr>
            <w:tcW w:w="1407" w:type="pc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continue"/>
            <w:vAlign w:val="center"/>
          </w:tcPr>
          <w:p>
            <w:pPr>
              <w:widowControl/>
              <w:snapToGrid w:val="0"/>
              <w:spacing w:line="380" w:lineRule="exact"/>
              <w:jc w:val="center"/>
              <w:rPr>
                <w:rFonts w:ascii="Times New Roman" w:hAnsi="Times New Roman" w:eastAsia="仿宋_GB2312" w:cs="Times New Roman"/>
                <w:kern w:val="0"/>
              </w:rPr>
            </w:pPr>
          </w:p>
        </w:tc>
        <w:tc>
          <w:tcPr>
            <w:tcW w:w="1614" w:type="pct"/>
            <w:vMerge w:val="continue"/>
            <w:vAlign w:val="center"/>
          </w:tcPr>
          <w:p>
            <w:pPr>
              <w:widowControl/>
              <w:snapToGrid w:val="0"/>
              <w:spacing w:line="380" w:lineRule="exact"/>
              <w:jc w:val="center"/>
              <w:rPr>
                <w:rFonts w:ascii="Times New Roman" w:hAnsi="Times New Roman" w:eastAsia="仿宋_GB2312" w:cs="Times New Roman"/>
                <w:kern w:val="0"/>
              </w:rPr>
            </w:pPr>
          </w:p>
        </w:tc>
        <w:tc>
          <w:tcPr>
            <w:tcW w:w="1537" w:type="pc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2018年9月</w:t>
            </w:r>
          </w:p>
        </w:tc>
        <w:tc>
          <w:tcPr>
            <w:tcW w:w="1407" w:type="pc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continue"/>
            <w:vAlign w:val="center"/>
          </w:tcPr>
          <w:p>
            <w:pPr>
              <w:widowControl/>
              <w:snapToGrid w:val="0"/>
              <w:spacing w:line="380" w:lineRule="exact"/>
              <w:jc w:val="center"/>
              <w:rPr>
                <w:rFonts w:ascii="Times New Roman" w:hAnsi="Times New Roman" w:eastAsia="仿宋_GB2312" w:cs="Times New Roman"/>
                <w:kern w:val="0"/>
              </w:rPr>
            </w:pPr>
          </w:p>
        </w:tc>
        <w:tc>
          <w:tcPr>
            <w:tcW w:w="1614" w:type="pct"/>
            <w:vMerge w:val="continue"/>
            <w:vAlign w:val="center"/>
          </w:tcPr>
          <w:p>
            <w:pPr>
              <w:widowControl/>
              <w:snapToGrid w:val="0"/>
              <w:spacing w:line="380" w:lineRule="exact"/>
              <w:jc w:val="center"/>
              <w:rPr>
                <w:rFonts w:ascii="Times New Roman" w:hAnsi="Times New Roman" w:eastAsia="仿宋_GB2312" w:cs="Times New Roman"/>
                <w:kern w:val="0"/>
              </w:rPr>
            </w:pPr>
          </w:p>
        </w:tc>
        <w:tc>
          <w:tcPr>
            <w:tcW w:w="1537" w:type="pc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2019年3月</w:t>
            </w:r>
          </w:p>
        </w:tc>
        <w:tc>
          <w:tcPr>
            <w:tcW w:w="1407" w:type="pc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continue"/>
            <w:vAlign w:val="center"/>
          </w:tcPr>
          <w:p>
            <w:pPr>
              <w:widowControl/>
              <w:snapToGrid w:val="0"/>
              <w:spacing w:line="380" w:lineRule="exact"/>
              <w:jc w:val="center"/>
              <w:rPr>
                <w:rFonts w:ascii="Times New Roman" w:hAnsi="Times New Roman" w:eastAsia="仿宋_GB2312" w:cs="Times New Roman"/>
                <w:kern w:val="0"/>
              </w:rPr>
            </w:pPr>
          </w:p>
        </w:tc>
        <w:tc>
          <w:tcPr>
            <w:tcW w:w="1614" w:type="pct"/>
            <w:vMerge w:val="continue"/>
            <w:vAlign w:val="center"/>
          </w:tcPr>
          <w:p>
            <w:pPr>
              <w:widowControl/>
              <w:snapToGrid w:val="0"/>
              <w:spacing w:line="380" w:lineRule="exact"/>
              <w:jc w:val="center"/>
              <w:rPr>
                <w:rFonts w:ascii="Times New Roman" w:hAnsi="Times New Roman" w:eastAsia="仿宋_GB2312" w:cs="Times New Roman"/>
                <w:kern w:val="0"/>
              </w:rPr>
            </w:pPr>
          </w:p>
        </w:tc>
        <w:tc>
          <w:tcPr>
            <w:tcW w:w="1537" w:type="pc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2019年9月</w:t>
            </w:r>
          </w:p>
        </w:tc>
        <w:tc>
          <w:tcPr>
            <w:tcW w:w="1407" w:type="pc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restar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2</w:t>
            </w:r>
          </w:p>
        </w:tc>
        <w:tc>
          <w:tcPr>
            <w:tcW w:w="1614" w:type="pct"/>
            <w:vMerge w:val="restar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航空机电设备维修</w:t>
            </w:r>
          </w:p>
        </w:tc>
        <w:tc>
          <w:tcPr>
            <w:tcW w:w="1537" w:type="pc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2018年9月</w:t>
            </w:r>
          </w:p>
        </w:tc>
        <w:tc>
          <w:tcPr>
            <w:tcW w:w="1407" w:type="pc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continue"/>
            <w:vAlign w:val="center"/>
          </w:tcPr>
          <w:p>
            <w:pPr>
              <w:widowControl/>
              <w:snapToGrid w:val="0"/>
              <w:spacing w:line="380" w:lineRule="exact"/>
              <w:jc w:val="center"/>
              <w:rPr>
                <w:rFonts w:ascii="Times New Roman" w:hAnsi="Times New Roman" w:eastAsia="仿宋_GB2312" w:cs="Times New Roman"/>
                <w:kern w:val="0"/>
              </w:rPr>
            </w:pPr>
          </w:p>
        </w:tc>
        <w:tc>
          <w:tcPr>
            <w:tcW w:w="1614" w:type="pct"/>
            <w:vMerge w:val="continue"/>
            <w:vAlign w:val="center"/>
          </w:tcPr>
          <w:p>
            <w:pPr>
              <w:widowControl/>
              <w:snapToGrid w:val="0"/>
              <w:spacing w:line="380" w:lineRule="exact"/>
              <w:jc w:val="center"/>
              <w:rPr>
                <w:rFonts w:ascii="Times New Roman" w:hAnsi="Times New Roman" w:eastAsia="仿宋_GB2312" w:cs="Times New Roman"/>
                <w:kern w:val="0"/>
              </w:rPr>
            </w:pPr>
          </w:p>
        </w:tc>
        <w:tc>
          <w:tcPr>
            <w:tcW w:w="1537" w:type="pc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2019年9月</w:t>
            </w:r>
          </w:p>
        </w:tc>
        <w:tc>
          <w:tcPr>
            <w:tcW w:w="1407" w:type="pc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restar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3</w:t>
            </w:r>
          </w:p>
        </w:tc>
        <w:tc>
          <w:tcPr>
            <w:tcW w:w="1614" w:type="pct"/>
            <w:vMerge w:val="restar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虚拟化工程师</w:t>
            </w:r>
          </w:p>
        </w:tc>
        <w:tc>
          <w:tcPr>
            <w:tcW w:w="1537" w:type="pc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2018年9月</w:t>
            </w:r>
          </w:p>
        </w:tc>
        <w:tc>
          <w:tcPr>
            <w:tcW w:w="1407" w:type="pc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continue"/>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p>
        </w:tc>
        <w:tc>
          <w:tcPr>
            <w:tcW w:w="1614" w:type="pct"/>
            <w:vMerge w:val="continue"/>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p>
        </w:tc>
        <w:tc>
          <w:tcPr>
            <w:tcW w:w="1537" w:type="pc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ascii="Times New Roman" w:hAnsi="Times New Roman" w:eastAsia="楷体" w:cs="Times New Roman"/>
                <w:kern w:val="0"/>
              </w:rPr>
              <w:t>2019年3月</w:t>
            </w:r>
          </w:p>
        </w:tc>
        <w:tc>
          <w:tcPr>
            <w:tcW w:w="1407" w:type="pc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hint="eastAsia" w:ascii="Times New Roman" w:hAnsi="Times New Roman" w:eastAsia="仿宋_GB2312" w:cs="Times New Roman"/>
                <w:kern w:val="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continue"/>
            <w:vAlign w:val="center"/>
          </w:tcPr>
          <w:p>
            <w:pPr>
              <w:widowControl/>
              <w:snapToGrid w:val="0"/>
              <w:spacing w:line="380" w:lineRule="exact"/>
              <w:jc w:val="center"/>
              <w:rPr>
                <w:rFonts w:ascii="Times New Roman" w:hAnsi="Times New Roman" w:eastAsia="楷体" w:cs="Times New Roman"/>
                <w:kern w:val="0"/>
              </w:rPr>
            </w:pPr>
          </w:p>
        </w:tc>
        <w:tc>
          <w:tcPr>
            <w:tcW w:w="1614" w:type="pct"/>
            <w:vMerge w:val="continue"/>
            <w:vAlign w:val="center"/>
          </w:tcPr>
          <w:p>
            <w:pPr>
              <w:widowControl/>
              <w:snapToGrid w:val="0"/>
              <w:spacing w:line="380" w:lineRule="exact"/>
              <w:jc w:val="center"/>
              <w:rPr>
                <w:rFonts w:ascii="Times New Roman" w:hAnsi="Times New Roman" w:eastAsia="楷体" w:cs="Times New Roman"/>
                <w:kern w:val="0"/>
              </w:rPr>
            </w:pPr>
          </w:p>
        </w:tc>
        <w:tc>
          <w:tcPr>
            <w:tcW w:w="153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2019年9月</w:t>
            </w:r>
          </w:p>
        </w:tc>
        <w:tc>
          <w:tcPr>
            <w:tcW w:w="140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restar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4</w:t>
            </w:r>
          </w:p>
        </w:tc>
        <w:tc>
          <w:tcPr>
            <w:tcW w:w="1614" w:type="pct"/>
            <w:vMerge w:val="restar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互联网金融</w:t>
            </w:r>
          </w:p>
        </w:tc>
        <w:tc>
          <w:tcPr>
            <w:tcW w:w="153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2018年9月</w:t>
            </w:r>
          </w:p>
        </w:tc>
        <w:tc>
          <w:tcPr>
            <w:tcW w:w="140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continue"/>
            <w:shd w:val="clear" w:color="auto" w:fill="auto"/>
            <w:noWrap/>
            <w:vAlign w:val="center"/>
          </w:tcPr>
          <w:p>
            <w:pPr>
              <w:widowControl/>
              <w:snapToGrid w:val="0"/>
              <w:spacing w:line="380" w:lineRule="exact"/>
              <w:jc w:val="center"/>
              <w:rPr>
                <w:rFonts w:ascii="Times New Roman" w:hAnsi="Times New Roman" w:eastAsia="楷体" w:cs="Times New Roman"/>
                <w:kern w:val="0"/>
              </w:rPr>
            </w:pPr>
          </w:p>
        </w:tc>
        <w:tc>
          <w:tcPr>
            <w:tcW w:w="1614" w:type="pct"/>
            <w:vMerge w:val="continue"/>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p>
        </w:tc>
        <w:tc>
          <w:tcPr>
            <w:tcW w:w="153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2019年3月</w:t>
            </w:r>
          </w:p>
        </w:tc>
        <w:tc>
          <w:tcPr>
            <w:tcW w:w="140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hint="eastAsia" w:ascii="Times New Roman" w:hAnsi="Times New Roman" w:eastAsia="楷体" w:cs="Times New Roman"/>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restar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5</w:t>
            </w:r>
          </w:p>
        </w:tc>
        <w:tc>
          <w:tcPr>
            <w:tcW w:w="1614" w:type="pct"/>
            <w:vMerge w:val="restart"/>
            <w:shd w:val="clear" w:color="auto" w:fill="auto"/>
            <w:vAlign w:val="center"/>
          </w:tcPr>
          <w:p>
            <w:pPr>
              <w:widowControl/>
              <w:snapToGrid w:val="0"/>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软件工程</w:t>
            </w:r>
          </w:p>
        </w:tc>
        <w:tc>
          <w:tcPr>
            <w:tcW w:w="153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2018年3月</w:t>
            </w:r>
          </w:p>
        </w:tc>
        <w:tc>
          <w:tcPr>
            <w:tcW w:w="140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continue"/>
            <w:shd w:val="clear" w:color="auto" w:fill="auto"/>
            <w:noWrap/>
            <w:vAlign w:val="center"/>
          </w:tcPr>
          <w:p>
            <w:pPr>
              <w:widowControl/>
              <w:snapToGrid w:val="0"/>
              <w:spacing w:line="380" w:lineRule="exact"/>
              <w:jc w:val="center"/>
              <w:rPr>
                <w:rFonts w:ascii="Times New Roman" w:hAnsi="Times New Roman" w:eastAsia="楷体" w:cs="Times New Roman"/>
                <w:kern w:val="0"/>
              </w:rPr>
            </w:pPr>
          </w:p>
        </w:tc>
        <w:tc>
          <w:tcPr>
            <w:tcW w:w="1614" w:type="pct"/>
            <w:vMerge w:val="continue"/>
            <w:shd w:val="clear" w:color="auto" w:fill="auto"/>
            <w:vAlign w:val="center"/>
          </w:tcPr>
          <w:p>
            <w:pPr>
              <w:widowControl/>
              <w:snapToGrid w:val="0"/>
              <w:spacing w:line="380" w:lineRule="exact"/>
              <w:jc w:val="center"/>
              <w:rPr>
                <w:rFonts w:ascii="Times New Roman" w:hAnsi="Times New Roman" w:eastAsia="仿宋_GB2312" w:cs="Times New Roman"/>
                <w:kern w:val="0"/>
              </w:rPr>
            </w:pPr>
          </w:p>
        </w:tc>
        <w:tc>
          <w:tcPr>
            <w:tcW w:w="153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2019年3月</w:t>
            </w:r>
          </w:p>
        </w:tc>
        <w:tc>
          <w:tcPr>
            <w:tcW w:w="140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hint="eastAsia" w:ascii="Times New Roman" w:hAnsi="Times New Roman" w:eastAsia="楷体" w:cs="Times New Roman"/>
                <w:kern w:val="0"/>
              </w:rPr>
              <w:t>3</w:t>
            </w:r>
            <w:r>
              <w:rPr>
                <w:rFonts w:ascii="Times New Roman" w:hAnsi="Times New Roman" w:eastAsia="楷体" w:cs="Times New Roman"/>
                <w:kern w:val="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continue"/>
            <w:vAlign w:val="center"/>
          </w:tcPr>
          <w:p>
            <w:pPr>
              <w:widowControl/>
              <w:snapToGrid w:val="0"/>
              <w:spacing w:line="380" w:lineRule="exact"/>
              <w:jc w:val="center"/>
              <w:rPr>
                <w:rFonts w:ascii="Times New Roman" w:hAnsi="Times New Roman" w:eastAsia="楷体" w:cs="Times New Roman"/>
                <w:kern w:val="0"/>
              </w:rPr>
            </w:pPr>
          </w:p>
        </w:tc>
        <w:tc>
          <w:tcPr>
            <w:tcW w:w="1614" w:type="pct"/>
            <w:vMerge w:val="continue"/>
            <w:vAlign w:val="center"/>
          </w:tcPr>
          <w:p>
            <w:pPr>
              <w:widowControl/>
              <w:snapToGrid w:val="0"/>
              <w:spacing w:line="380" w:lineRule="exact"/>
              <w:jc w:val="center"/>
              <w:rPr>
                <w:rFonts w:ascii="Times New Roman" w:hAnsi="Times New Roman" w:eastAsia="仿宋_GB2312" w:cs="Times New Roman"/>
                <w:kern w:val="0"/>
              </w:rPr>
            </w:pPr>
          </w:p>
        </w:tc>
        <w:tc>
          <w:tcPr>
            <w:tcW w:w="153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2019年9月</w:t>
            </w:r>
          </w:p>
        </w:tc>
        <w:tc>
          <w:tcPr>
            <w:tcW w:w="140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restart"/>
            <w:vAlign w:val="center"/>
          </w:tcPr>
          <w:p>
            <w:pPr>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6</w:t>
            </w:r>
          </w:p>
        </w:tc>
        <w:tc>
          <w:tcPr>
            <w:tcW w:w="1614" w:type="pct"/>
            <w:vMerge w:val="restart"/>
            <w:vAlign w:val="center"/>
          </w:tcPr>
          <w:p>
            <w:pPr>
              <w:snapToGrid w:val="0"/>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设计应用</w:t>
            </w:r>
          </w:p>
        </w:tc>
        <w:tc>
          <w:tcPr>
            <w:tcW w:w="153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2018年3月</w:t>
            </w:r>
          </w:p>
        </w:tc>
        <w:tc>
          <w:tcPr>
            <w:tcW w:w="140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hint="eastAsia" w:ascii="Times New Roman" w:hAnsi="Times New Roman" w:eastAsia="楷体" w:cs="Times New Roman"/>
                <w:kern w:val="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continue"/>
            <w:shd w:val="clear" w:color="auto" w:fill="auto"/>
            <w:noWrap/>
            <w:vAlign w:val="center"/>
          </w:tcPr>
          <w:p>
            <w:pPr>
              <w:widowControl/>
              <w:snapToGrid w:val="0"/>
              <w:spacing w:line="380" w:lineRule="exact"/>
              <w:jc w:val="center"/>
              <w:rPr>
                <w:rFonts w:ascii="Times New Roman" w:hAnsi="Times New Roman" w:eastAsia="楷体" w:cs="Times New Roman"/>
                <w:kern w:val="0"/>
              </w:rPr>
            </w:pPr>
          </w:p>
        </w:tc>
        <w:tc>
          <w:tcPr>
            <w:tcW w:w="1614" w:type="pct"/>
            <w:vMerge w:val="continue"/>
            <w:shd w:val="clear" w:color="auto" w:fill="auto"/>
            <w:vAlign w:val="center"/>
          </w:tcPr>
          <w:p>
            <w:pPr>
              <w:widowControl/>
              <w:snapToGrid w:val="0"/>
              <w:spacing w:line="380" w:lineRule="exact"/>
              <w:jc w:val="center"/>
              <w:rPr>
                <w:rFonts w:ascii="Times New Roman" w:hAnsi="Times New Roman" w:eastAsia="仿宋_GB2312" w:cs="Times New Roman"/>
                <w:kern w:val="0"/>
              </w:rPr>
            </w:pPr>
          </w:p>
        </w:tc>
        <w:tc>
          <w:tcPr>
            <w:tcW w:w="153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2018年9月</w:t>
            </w:r>
          </w:p>
        </w:tc>
        <w:tc>
          <w:tcPr>
            <w:tcW w:w="140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continue"/>
            <w:shd w:val="clear" w:color="auto" w:fill="auto"/>
            <w:noWrap/>
            <w:vAlign w:val="center"/>
          </w:tcPr>
          <w:p>
            <w:pPr>
              <w:widowControl/>
              <w:snapToGrid w:val="0"/>
              <w:spacing w:line="380" w:lineRule="exact"/>
              <w:jc w:val="center"/>
              <w:rPr>
                <w:rFonts w:ascii="Times New Roman" w:hAnsi="Times New Roman" w:eastAsia="楷体" w:cs="Times New Roman"/>
                <w:kern w:val="0"/>
              </w:rPr>
            </w:pPr>
          </w:p>
        </w:tc>
        <w:tc>
          <w:tcPr>
            <w:tcW w:w="1614" w:type="pct"/>
            <w:vMerge w:val="continue"/>
            <w:shd w:val="clear" w:color="auto" w:fill="auto"/>
            <w:vAlign w:val="center"/>
          </w:tcPr>
          <w:p>
            <w:pPr>
              <w:widowControl/>
              <w:snapToGrid w:val="0"/>
              <w:spacing w:line="380" w:lineRule="exact"/>
              <w:jc w:val="center"/>
              <w:rPr>
                <w:rFonts w:ascii="Times New Roman" w:hAnsi="Times New Roman" w:eastAsia="仿宋_GB2312" w:cs="Times New Roman"/>
                <w:kern w:val="0"/>
              </w:rPr>
            </w:pPr>
          </w:p>
        </w:tc>
        <w:tc>
          <w:tcPr>
            <w:tcW w:w="153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2019年3月</w:t>
            </w:r>
          </w:p>
        </w:tc>
        <w:tc>
          <w:tcPr>
            <w:tcW w:w="140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hint="eastAsia" w:ascii="Times New Roman" w:hAnsi="Times New Roman" w:eastAsia="楷体" w:cs="Times New Roman"/>
                <w:kern w:val="0"/>
              </w:rPr>
              <w:t>1</w:t>
            </w:r>
            <w:r>
              <w:rPr>
                <w:rFonts w:ascii="Times New Roman" w:hAnsi="Times New Roman" w:eastAsia="楷体" w:cs="Times New Roman"/>
                <w:kern w:val="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continue"/>
            <w:vAlign w:val="center"/>
          </w:tcPr>
          <w:p>
            <w:pPr>
              <w:widowControl/>
              <w:snapToGrid w:val="0"/>
              <w:spacing w:line="380" w:lineRule="exact"/>
              <w:jc w:val="center"/>
              <w:rPr>
                <w:rFonts w:ascii="Times New Roman" w:hAnsi="Times New Roman" w:eastAsia="楷体" w:cs="Times New Roman"/>
                <w:kern w:val="0"/>
              </w:rPr>
            </w:pPr>
          </w:p>
        </w:tc>
        <w:tc>
          <w:tcPr>
            <w:tcW w:w="1614" w:type="pct"/>
            <w:vMerge w:val="continue"/>
            <w:vAlign w:val="center"/>
          </w:tcPr>
          <w:p>
            <w:pPr>
              <w:widowControl/>
              <w:snapToGrid w:val="0"/>
              <w:spacing w:line="380" w:lineRule="exact"/>
              <w:jc w:val="center"/>
              <w:rPr>
                <w:rFonts w:ascii="Times New Roman" w:hAnsi="Times New Roman" w:eastAsia="仿宋_GB2312" w:cs="Times New Roman"/>
                <w:kern w:val="0"/>
              </w:rPr>
            </w:pPr>
          </w:p>
        </w:tc>
        <w:tc>
          <w:tcPr>
            <w:tcW w:w="153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2018年9月</w:t>
            </w:r>
          </w:p>
        </w:tc>
        <w:tc>
          <w:tcPr>
            <w:tcW w:w="140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restar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7</w:t>
            </w:r>
          </w:p>
        </w:tc>
        <w:tc>
          <w:tcPr>
            <w:tcW w:w="1614" w:type="pct"/>
            <w:vMerge w:val="restar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动画设计、数字媒体</w:t>
            </w:r>
          </w:p>
        </w:tc>
        <w:tc>
          <w:tcPr>
            <w:tcW w:w="153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2018年9月</w:t>
            </w:r>
          </w:p>
        </w:tc>
        <w:tc>
          <w:tcPr>
            <w:tcW w:w="140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continue"/>
            <w:shd w:val="clear" w:color="auto" w:fill="auto"/>
            <w:noWrap/>
            <w:vAlign w:val="center"/>
          </w:tcPr>
          <w:p>
            <w:pPr>
              <w:widowControl/>
              <w:snapToGrid w:val="0"/>
              <w:spacing w:line="380" w:lineRule="exact"/>
              <w:jc w:val="center"/>
              <w:rPr>
                <w:rFonts w:ascii="Times New Roman" w:hAnsi="Times New Roman" w:eastAsia="楷体" w:cs="Times New Roman"/>
                <w:kern w:val="0"/>
              </w:rPr>
            </w:pPr>
          </w:p>
        </w:tc>
        <w:tc>
          <w:tcPr>
            <w:tcW w:w="1614" w:type="pct"/>
            <w:vMerge w:val="continue"/>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p>
        </w:tc>
        <w:tc>
          <w:tcPr>
            <w:tcW w:w="153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2019年9月</w:t>
            </w:r>
          </w:p>
        </w:tc>
        <w:tc>
          <w:tcPr>
            <w:tcW w:w="140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hint="eastAsia" w:ascii="Times New Roman" w:hAnsi="Times New Roman" w:eastAsia="楷体" w:cs="Times New Roman"/>
                <w:kern w:val="0"/>
              </w:rPr>
              <w:t>6</w:t>
            </w:r>
            <w:r>
              <w:rPr>
                <w:rFonts w:ascii="Times New Roman" w:hAnsi="Times New Roman" w:eastAsia="楷体" w:cs="Times New Roman"/>
                <w:kern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restar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8</w:t>
            </w:r>
          </w:p>
        </w:tc>
        <w:tc>
          <w:tcPr>
            <w:tcW w:w="1614" w:type="pct"/>
            <w:vMerge w:val="restar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国际经济与贸易</w:t>
            </w:r>
          </w:p>
        </w:tc>
        <w:tc>
          <w:tcPr>
            <w:tcW w:w="153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2018年9月</w:t>
            </w:r>
          </w:p>
        </w:tc>
        <w:tc>
          <w:tcPr>
            <w:tcW w:w="140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continue"/>
            <w:shd w:val="clear" w:color="auto" w:fill="auto"/>
            <w:noWrap/>
            <w:vAlign w:val="center"/>
          </w:tcPr>
          <w:p>
            <w:pPr>
              <w:widowControl/>
              <w:snapToGrid w:val="0"/>
              <w:spacing w:line="380" w:lineRule="exact"/>
              <w:jc w:val="center"/>
              <w:rPr>
                <w:rFonts w:ascii="Times New Roman" w:hAnsi="Times New Roman" w:eastAsia="楷体" w:cs="Times New Roman"/>
                <w:kern w:val="0"/>
              </w:rPr>
            </w:pPr>
          </w:p>
        </w:tc>
        <w:tc>
          <w:tcPr>
            <w:tcW w:w="1614" w:type="pct"/>
            <w:vMerge w:val="continue"/>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p>
        </w:tc>
        <w:tc>
          <w:tcPr>
            <w:tcW w:w="153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2019年9月</w:t>
            </w:r>
          </w:p>
        </w:tc>
        <w:tc>
          <w:tcPr>
            <w:tcW w:w="140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hint="eastAsia" w:ascii="Times New Roman" w:hAnsi="Times New Roman" w:eastAsia="楷体" w:cs="Times New Roman"/>
                <w:kern w:val="0"/>
              </w:rPr>
              <w:t>1</w:t>
            </w:r>
            <w:r>
              <w:rPr>
                <w:rFonts w:ascii="Times New Roman" w:hAnsi="Times New Roman" w:eastAsia="楷体" w:cs="Times New Roman"/>
                <w:kern w:val="0"/>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restar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9</w:t>
            </w:r>
          </w:p>
        </w:tc>
        <w:tc>
          <w:tcPr>
            <w:tcW w:w="1614" w:type="pct"/>
            <w:vMerge w:val="restar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hint="eastAsia" w:ascii="Times New Roman" w:hAnsi="Times New Roman" w:eastAsia="仿宋_GB2312" w:cs="Times New Roman"/>
                <w:kern w:val="0"/>
              </w:rPr>
              <w:t>计算机信息技术</w:t>
            </w:r>
          </w:p>
        </w:tc>
        <w:tc>
          <w:tcPr>
            <w:tcW w:w="153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2018年9月</w:t>
            </w:r>
          </w:p>
        </w:tc>
        <w:tc>
          <w:tcPr>
            <w:tcW w:w="140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continue"/>
            <w:shd w:val="clear" w:color="auto" w:fill="auto"/>
            <w:noWrap/>
            <w:vAlign w:val="center"/>
          </w:tcPr>
          <w:p>
            <w:pPr>
              <w:widowControl/>
              <w:snapToGrid w:val="0"/>
              <w:spacing w:line="380" w:lineRule="exact"/>
              <w:jc w:val="center"/>
              <w:rPr>
                <w:rFonts w:ascii="Times New Roman" w:hAnsi="Times New Roman" w:eastAsia="楷体" w:cs="Times New Roman"/>
                <w:kern w:val="0"/>
              </w:rPr>
            </w:pPr>
          </w:p>
        </w:tc>
        <w:tc>
          <w:tcPr>
            <w:tcW w:w="1614" w:type="pct"/>
            <w:vMerge w:val="continue"/>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p>
        </w:tc>
        <w:tc>
          <w:tcPr>
            <w:tcW w:w="153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2019年9月</w:t>
            </w:r>
          </w:p>
        </w:tc>
        <w:tc>
          <w:tcPr>
            <w:tcW w:w="140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hint="eastAsia" w:ascii="Times New Roman" w:hAnsi="Times New Roman" w:eastAsia="楷体" w:cs="Times New Roman"/>
                <w:kern w:val="0"/>
              </w:rPr>
              <w:t>6</w:t>
            </w:r>
            <w:r>
              <w:rPr>
                <w:rFonts w:ascii="Times New Roman" w:hAnsi="Times New Roman" w:eastAsia="楷体" w:cs="Times New Roman"/>
                <w:kern w:val="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restar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10</w:t>
            </w:r>
          </w:p>
        </w:tc>
        <w:tc>
          <w:tcPr>
            <w:tcW w:w="1614" w:type="pct"/>
            <w:vMerge w:val="restar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土木工程</w:t>
            </w:r>
          </w:p>
        </w:tc>
        <w:tc>
          <w:tcPr>
            <w:tcW w:w="153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2018年9月</w:t>
            </w:r>
          </w:p>
        </w:tc>
        <w:tc>
          <w:tcPr>
            <w:tcW w:w="140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continue"/>
            <w:shd w:val="clear" w:color="auto" w:fill="auto"/>
            <w:noWrap/>
            <w:vAlign w:val="center"/>
          </w:tcPr>
          <w:p>
            <w:pPr>
              <w:widowControl/>
              <w:snapToGrid w:val="0"/>
              <w:spacing w:line="380" w:lineRule="exact"/>
              <w:jc w:val="center"/>
              <w:rPr>
                <w:rFonts w:ascii="Times New Roman" w:hAnsi="Times New Roman" w:eastAsia="楷体" w:cs="Times New Roman"/>
                <w:kern w:val="0"/>
              </w:rPr>
            </w:pPr>
          </w:p>
        </w:tc>
        <w:tc>
          <w:tcPr>
            <w:tcW w:w="1614" w:type="pct"/>
            <w:vMerge w:val="continue"/>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p>
        </w:tc>
        <w:tc>
          <w:tcPr>
            <w:tcW w:w="153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2019年9月</w:t>
            </w:r>
          </w:p>
        </w:tc>
        <w:tc>
          <w:tcPr>
            <w:tcW w:w="140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hint="eastAsia" w:ascii="Times New Roman" w:hAnsi="Times New Roman" w:eastAsia="楷体" w:cs="Times New Roman"/>
                <w:kern w:val="0"/>
              </w:rPr>
              <w:t>3</w:t>
            </w:r>
            <w:r>
              <w:rPr>
                <w:rFonts w:ascii="Times New Roman" w:hAnsi="Times New Roman" w:eastAsia="楷体" w:cs="Times New Roman"/>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restar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11</w:t>
            </w:r>
          </w:p>
        </w:tc>
        <w:tc>
          <w:tcPr>
            <w:tcW w:w="1614" w:type="pct"/>
            <w:vMerge w:val="restar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文学写作</w:t>
            </w:r>
          </w:p>
        </w:tc>
        <w:tc>
          <w:tcPr>
            <w:tcW w:w="153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2018年9月</w:t>
            </w:r>
          </w:p>
        </w:tc>
        <w:tc>
          <w:tcPr>
            <w:tcW w:w="140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continue"/>
            <w:shd w:val="clear" w:color="auto" w:fill="auto"/>
            <w:noWrap/>
            <w:vAlign w:val="center"/>
          </w:tcPr>
          <w:p>
            <w:pPr>
              <w:widowControl/>
              <w:snapToGrid w:val="0"/>
              <w:spacing w:line="380" w:lineRule="exact"/>
              <w:jc w:val="center"/>
              <w:rPr>
                <w:rFonts w:ascii="Times New Roman" w:hAnsi="Times New Roman" w:eastAsia="楷体" w:cs="Times New Roman"/>
                <w:kern w:val="0"/>
              </w:rPr>
            </w:pPr>
          </w:p>
        </w:tc>
        <w:tc>
          <w:tcPr>
            <w:tcW w:w="1614" w:type="pct"/>
            <w:vMerge w:val="continue"/>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p>
        </w:tc>
        <w:tc>
          <w:tcPr>
            <w:tcW w:w="153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2019年9月</w:t>
            </w:r>
          </w:p>
        </w:tc>
        <w:tc>
          <w:tcPr>
            <w:tcW w:w="140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hint="eastAsia" w:ascii="Times New Roman" w:hAnsi="Times New Roman" w:eastAsia="楷体" w:cs="Times New Roman"/>
                <w:kern w:val="0"/>
              </w:rPr>
              <w:t>4</w:t>
            </w:r>
            <w:r>
              <w:rPr>
                <w:rFonts w:ascii="Times New Roman" w:hAnsi="Times New Roman" w:eastAsia="楷体" w:cs="Times New Roman"/>
                <w:kern w:val="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12</w:t>
            </w:r>
          </w:p>
        </w:tc>
        <w:tc>
          <w:tcPr>
            <w:tcW w:w="1614" w:type="pc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人工智能技术与应用</w:t>
            </w:r>
          </w:p>
        </w:tc>
        <w:tc>
          <w:tcPr>
            <w:tcW w:w="153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2019年9月</w:t>
            </w:r>
          </w:p>
        </w:tc>
        <w:tc>
          <w:tcPr>
            <w:tcW w:w="140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restar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13</w:t>
            </w:r>
          </w:p>
        </w:tc>
        <w:tc>
          <w:tcPr>
            <w:tcW w:w="1614" w:type="pct"/>
            <w:vMerge w:val="restar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hint="eastAsia" w:ascii="Times New Roman" w:hAnsi="Times New Roman" w:eastAsia="仿宋_GB2312" w:cs="Times New Roman"/>
                <w:kern w:val="0"/>
              </w:rPr>
              <w:t>财务管理等</w:t>
            </w:r>
          </w:p>
        </w:tc>
        <w:tc>
          <w:tcPr>
            <w:tcW w:w="153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2018年9月</w:t>
            </w:r>
          </w:p>
        </w:tc>
        <w:tc>
          <w:tcPr>
            <w:tcW w:w="140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continue"/>
            <w:shd w:val="clear" w:color="auto" w:fill="auto"/>
            <w:noWrap/>
            <w:vAlign w:val="center"/>
          </w:tcPr>
          <w:p>
            <w:pPr>
              <w:widowControl/>
              <w:snapToGrid w:val="0"/>
              <w:spacing w:line="380" w:lineRule="exact"/>
              <w:jc w:val="center"/>
              <w:rPr>
                <w:rFonts w:ascii="Times New Roman" w:hAnsi="Times New Roman" w:eastAsia="楷体" w:cs="Times New Roman"/>
                <w:kern w:val="0"/>
              </w:rPr>
            </w:pPr>
          </w:p>
        </w:tc>
        <w:tc>
          <w:tcPr>
            <w:tcW w:w="1614" w:type="pct"/>
            <w:vMerge w:val="continue"/>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p>
        </w:tc>
        <w:tc>
          <w:tcPr>
            <w:tcW w:w="153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2019年9月</w:t>
            </w:r>
          </w:p>
        </w:tc>
        <w:tc>
          <w:tcPr>
            <w:tcW w:w="140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hint="eastAsia" w:ascii="Times New Roman" w:hAnsi="Times New Roman" w:eastAsia="楷体" w:cs="Times New Roman"/>
                <w:kern w:val="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continue"/>
            <w:shd w:val="clear" w:color="auto" w:fill="auto"/>
            <w:noWrap/>
            <w:vAlign w:val="center"/>
          </w:tcPr>
          <w:p>
            <w:pPr>
              <w:widowControl/>
              <w:snapToGrid w:val="0"/>
              <w:spacing w:line="380" w:lineRule="exact"/>
              <w:jc w:val="center"/>
              <w:rPr>
                <w:rFonts w:ascii="Times New Roman" w:hAnsi="Times New Roman" w:eastAsia="楷体" w:cs="Times New Roman"/>
                <w:kern w:val="0"/>
              </w:rPr>
            </w:pPr>
          </w:p>
        </w:tc>
        <w:tc>
          <w:tcPr>
            <w:tcW w:w="1614" w:type="pct"/>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跨境电商</w:t>
            </w:r>
            <w:r>
              <w:rPr>
                <w:rFonts w:hint="eastAsia" w:ascii="Times New Roman" w:hAnsi="Times New Roman" w:eastAsia="仿宋_GB2312" w:cs="Times New Roman"/>
                <w:kern w:val="0"/>
              </w:rPr>
              <w:t>等</w:t>
            </w:r>
          </w:p>
        </w:tc>
        <w:tc>
          <w:tcPr>
            <w:tcW w:w="153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2019年9月</w:t>
            </w:r>
          </w:p>
        </w:tc>
        <w:tc>
          <w:tcPr>
            <w:tcW w:w="140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hint="eastAsia" w:ascii="Times New Roman" w:hAnsi="Times New Roman" w:eastAsia="楷体" w:cs="Times New Roman"/>
                <w:kern w:val="0"/>
              </w:rPr>
              <w:t>2</w:t>
            </w:r>
            <w:r>
              <w:rPr>
                <w:rFonts w:ascii="Times New Roman" w:hAnsi="Times New Roman" w:eastAsia="楷体" w:cs="Times New Roman"/>
                <w:kern w:val="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3593" w:type="pct"/>
            <w:gridSpan w:val="3"/>
            <w:shd w:val="clear" w:color="auto" w:fill="auto"/>
            <w:noWrap/>
            <w:vAlign w:val="center"/>
          </w:tcPr>
          <w:p>
            <w:pPr>
              <w:widowControl/>
              <w:snapToGrid w:val="0"/>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总计</w:t>
            </w:r>
          </w:p>
        </w:tc>
        <w:tc>
          <w:tcPr>
            <w:tcW w:w="1407" w:type="pct"/>
            <w:shd w:val="clear" w:color="auto" w:fill="auto"/>
            <w:noWrap/>
            <w:vAlign w:val="center"/>
          </w:tcPr>
          <w:p>
            <w:pPr>
              <w:widowControl/>
              <w:snapToGrid w:val="0"/>
              <w:spacing w:line="380" w:lineRule="exact"/>
              <w:jc w:val="center"/>
              <w:rPr>
                <w:rFonts w:ascii="Times New Roman" w:hAnsi="Times New Roman" w:eastAsia="楷体" w:cs="Times New Roman"/>
                <w:kern w:val="0"/>
              </w:rPr>
            </w:pPr>
            <w:r>
              <w:rPr>
                <w:rFonts w:ascii="Times New Roman" w:hAnsi="Times New Roman" w:eastAsia="楷体" w:cs="Times New Roman"/>
                <w:kern w:val="0"/>
              </w:rPr>
              <w:t>1073</w:t>
            </w:r>
          </w:p>
        </w:tc>
      </w:tr>
    </w:tbl>
    <w:p>
      <w:pPr>
        <w:spacing w:line="600" w:lineRule="exact"/>
        <w:jc w:val="center"/>
        <w:rPr>
          <w:rFonts w:ascii="Times New Roman" w:hAnsi="Times New Roman" w:eastAsia="楷体" w:cs="Times New Roman"/>
          <w:kern w:val="0"/>
          <w:sz w:val="30"/>
          <w:szCs w:val="30"/>
        </w:rPr>
      </w:pPr>
      <w:r>
        <w:rPr>
          <w:rFonts w:ascii="Times New Roman" w:hAnsi="Times New Roman" w:eastAsia="楷体" w:cs="Times New Roman"/>
          <w:kern w:val="0"/>
          <w:sz w:val="30"/>
          <w:szCs w:val="30"/>
        </w:rPr>
        <w:t>表</w:t>
      </w:r>
      <w:r>
        <w:rPr>
          <w:rFonts w:hint="eastAsia" w:ascii="Times New Roman" w:hAnsi="Times New Roman" w:eastAsia="楷体" w:cs="Times New Roman"/>
          <w:kern w:val="0"/>
          <w:sz w:val="30"/>
          <w:szCs w:val="30"/>
        </w:rPr>
        <w:t>5</w:t>
      </w:r>
      <w:r>
        <w:rPr>
          <w:rFonts w:ascii="Times New Roman" w:hAnsi="Times New Roman" w:eastAsia="楷体" w:cs="Times New Roman"/>
          <w:kern w:val="0"/>
          <w:sz w:val="30"/>
          <w:szCs w:val="30"/>
        </w:rPr>
        <w:t xml:space="preserve">    在校出国留学培训人数统计表</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2978"/>
        <w:gridCol w:w="2835"/>
        <w:gridCol w:w="2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shd w:val="clear" w:color="auto" w:fill="auto"/>
            <w:noWrap/>
            <w:vAlign w:val="center"/>
          </w:tcPr>
          <w:p>
            <w:pPr>
              <w:widowControl/>
              <w:spacing w:line="380" w:lineRule="exact"/>
              <w:jc w:val="center"/>
              <w:rPr>
                <w:rFonts w:ascii="Times New Roman" w:hAnsi="Times New Roman" w:eastAsia="仿宋_GB2312" w:cs="Times New Roman"/>
                <w:b/>
                <w:bCs/>
                <w:kern w:val="0"/>
              </w:rPr>
            </w:pPr>
            <w:r>
              <w:rPr>
                <w:rFonts w:ascii="Times New Roman" w:hAnsi="Times New Roman" w:eastAsia="仿宋_GB2312" w:cs="Times New Roman"/>
                <w:b/>
                <w:bCs/>
                <w:kern w:val="0"/>
              </w:rPr>
              <w:t>序号</w:t>
            </w:r>
          </w:p>
        </w:tc>
        <w:tc>
          <w:tcPr>
            <w:tcW w:w="1614" w:type="pct"/>
            <w:shd w:val="clear" w:color="auto" w:fill="auto"/>
            <w:noWrap/>
            <w:vAlign w:val="center"/>
          </w:tcPr>
          <w:p>
            <w:pPr>
              <w:widowControl/>
              <w:spacing w:line="380" w:lineRule="exact"/>
              <w:jc w:val="center"/>
              <w:rPr>
                <w:rFonts w:ascii="Times New Roman" w:hAnsi="Times New Roman" w:eastAsia="仿宋_GB2312" w:cs="Times New Roman"/>
                <w:b/>
                <w:bCs/>
                <w:kern w:val="0"/>
              </w:rPr>
            </w:pPr>
            <w:r>
              <w:rPr>
                <w:rFonts w:ascii="Times New Roman" w:hAnsi="Times New Roman" w:eastAsia="仿宋_GB2312" w:cs="Times New Roman"/>
                <w:b/>
                <w:bCs/>
                <w:kern w:val="0"/>
              </w:rPr>
              <w:t>专业</w:t>
            </w:r>
          </w:p>
        </w:tc>
        <w:tc>
          <w:tcPr>
            <w:tcW w:w="1537" w:type="pct"/>
            <w:shd w:val="clear" w:color="auto" w:fill="auto"/>
            <w:noWrap/>
            <w:vAlign w:val="center"/>
          </w:tcPr>
          <w:p>
            <w:pPr>
              <w:widowControl/>
              <w:spacing w:line="380" w:lineRule="exact"/>
              <w:jc w:val="center"/>
              <w:rPr>
                <w:rFonts w:ascii="Times New Roman" w:hAnsi="Times New Roman" w:eastAsia="仿宋_GB2312" w:cs="Times New Roman"/>
                <w:b/>
                <w:bCs/>
                <w:kern w:val="0"/>
              </w:rPr>
            </w:pPr>
            <w:r>
              <w:rPr>
                <w:rFonts w:ascii="Times New Roman" w:hAnsi="Times New Roman" w:eastAsia="仿宋_GB2312" w:cs="Times New Roman"/>
                <w:b/>
                <w:bCs/>
                <w:kern w:val="0"/>
              </w:rPr>
              <w:t>入学时间</w:t>
            </w:r>
          </w:p>
        </w:tc>
        <w:tc>
          <w:tcPr>
            <w:tcW w:w="1407" w:type="pct"/>
            <w:shd w:val="clear" w:color="auto" w:fill="auto"/>
            <w:noWrap/>
            <w:vAlign w:val="center"/>
          </w:tcPr>
          <w:p>
            <w:pPr>
              <w:widowControl/>
              <w:spacing w:line="380" w:lineRule="exact"/>
              <w:jc w:val="center"/>
              <w:rPr>
                <w:rFonts w:ascii="Times New Roman" w:hAnsi="Times New Roman" w:eastAsia="仿宋_GB2312" w:cs="Times New Roman"/>
                <w:b/>
                <w:bCs/>
                <w:kern w:val="0"/>
              </w:rPr>
            </w:pPr>
            <w:r>
              <w:rPr>
                <w:rFonts w:ascii="Times New Roman" w:hAnsi="Times New Roman" w:eastAsia="仿宋_GB2312" w:cs="Times New Roman"/>
                <w:b/>
                <w:bCs/>
                <w:kern w:val="0"/>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restart"/>
            <w:shd w:val="clear" w:color="auto" w:fill="auto"/>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1</w:t>
            </w:r>
          </w:p>
        </w:tc>
        <w:tc>
          <w:tcPr>
            <w:tcW w:w="1614" w:type="pct"/>
            <w:vMerge w:val="restart"/>
            <w:shd w:val="clear" w:color="auto" w:fill="auto"/>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国际金融专业</w:t>
            </w:r>
          </w:p>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2+2本科</w:t>
            </w:r>
          </w:p>
        </w:tc>
        <w:tc>
          <w:tcPr>
            <w:tcW w:w="1537" w:type="pct"/>
            <w:shd w:val="clear" w:color="auto" w:fill="auto"/>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2018年9月</w:t>
            </w:r>
          </w:p>
        </w:tc>
        <w:tc>
          <w:tcPr>
            <w:tcW w:w="1407" w:type="pct"/>
            <w:shd w:val="clear" w:color="auto" w:fill="auto"/>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vMerge w:val="continue"/>
            <w:shd w:val="clear" w:color="auto" w:fill="auto"/>
            <w:noWrap/>
            <w:vAlign w:val="center"/>
          </w:tcPr>
          <w:p>
            <w:pPr>
              <w:widowControl/>
              <w:spacing w:line="380" w:lineRule="exact"/>
              <w:jc w:val="center"/>
              <w:rPr>
                <w:rFonts w:ascii="Times New Roman" w:hAnsi="Times New Roman" w:eastAsia="仿宋_GB2312" w:cs="Times New Roman"/>
                <w:kern w:val="0"/>
              </w:rPr>
            </w:pPr>
          </w:p>
        </w:tc>
        <w:tc>
          <w:tcPr>
            <w:tcW w:w="1614" w:type="pct"/>
            <w:vMerge w:val="continue"/>
            <w:shd w:val="clear" w:color="auto" w:fill="auto"/>
            <w:noWrap/>
            <w:vAlign w:val="center"/>
          </w:tcPr>
          <w:p>
            <w:pPr>
              <w:widowControl/>
              <w:spacing w:line="380" w:lineRule="exact"/>
              <w:jc w:val="center"/>
              <w:rPr>
                <w:rFonts w:ascii="Times New Roman" w:hAnsi="Times New Roman" w:eastAsia="仿宋_GB2312" w:cs="Times New Roman"/>
                <w:kern w:val="0"/>
              </w:rPr>
            </w:pPr>
          </w:p>
        </w:tc>
        <w:tc>
          <w:tcPr>
            <w:tcW w:w="1537" w:type="pct"/>
            <w:shd w:val="clear" w:color="auto" w:fill="auto"/>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2019年9月</w:t>
            </w:r>
          </w:p>
        </w:tc>
        <w:tc>
          <w:tcPr>
            <w:tcW w:w="1407" w:type="pct"/>
            <w:shd w:val="clear" w:color="auto" w:fill="auto"/>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42" w:type="pct"/>
            <w:shd w:val="clear" w:color="auto" w:fill="auto"/>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2</w:t>
            </w:r>
          </w:p>
        </w:tc>
        <w:tc>
          <w:tcPr>
            <w:tcW w:w="1614" w:type="pct"/>
            <w:shd w:val="clear" w:color="auto" w:fill="auto"/>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日本本科预科</w:t>
            </w:r>
          </w:p>
        </w:tc>
        <w:tc>
          <w:tcPr>
            <w:tcW w:w="1537" w:type="pct"/>
            <w:shd w:val="clear" w:color="auto" w:fill="auto"/>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2019年9月</w:t>
            </w:r>
          </w:p>
        </w:tc>
        <w:tc>
          <w:tcPr>
            <w:tcW w:w="1407" w:type="pct"/>
            <w:shd w:val="clear" w:color="auto" w:fill="auto"/>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3593" w:type="pct"/>
            <w:gridSpan w:val="3"/>
            <w:shd w:val="clear" w:color="auto" w:fill="auto"/>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总计</w:t>
            </w:r>
          </w:p>
        </w:tc>
        <w:tc>
          <w:tcPr>
            <w:tcW w:w="1407" w:type="pct"/>
            <w:shd w:val="clear" w:color="auto" w:fill="auto"/>
            <w:noWrap/>
            <w:vAlign w:val="center"/>
          </w:tcPr>
          <w:p>
            <w:pPr>
              <w:widowControl/>
              <w:spacing w:line="380" w:lineRule="exact"/>
              <w:jc w:val="center"/>
              <w:rPr>
                <w:rFonts w:ascii="Times New Roman" w:hAnsi="Times New Roman" w:eastAsia="仿宋_GB2312" w:cs="Times New Roman"/>
                <w:kern w:val="0"/>
              </w:rPr>
            </w:pPr>
            <w:r>
              <w:rPr>
                <w:rFonts w:ascii="Times New Roman" w:hAnsi="Times New Roman" w:eastAsia="仿宋_GB2312" w:cs="Times New Roman"/>
                <w:kern w:val="0"/>
              </w:rPr>
              <w:t>43</w:t>
            </w:r>
          </w:p>
        </w:tc>
      </w:tr>
    </w:tbl>
    <w:p>
      <w:pPr>
        <w:spacing w:line="60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b w:val="0"/>
          <w:bCs/>
          <w:sz w:val="32"/>
          <w:szCs w:val="32"/>
        </w:rPr>
        <w:t>2.培训模式：面授。</w:t>
      </w:r>
    </w:p>
    <w:p>
      <w:pPr>
        <w:pStyle w:val="35"/>
        <w:ind w:firstLine="643" w:firstLineChars="200"/>
        <w:rPr>
          <w:rFonts w:ascii="Times New Roman" w:hAnsi="Times New Roman" w:eastAsia="楷体_GB2312" w:cs="Times New Roman"/>
          <w:kern w:val="2"/>
        </w:rPr>
      </w:pPr>
      <w:r>
        <w:rPr>
          <w:rFonts w:ascii="Times New Roman" w:hAnsi="Times New Roman" w:eastAsia="楷体_GB2312" w:cs="Times New Roman"/>
          <w:kern w:val="2"/>
        </w:rPr>
        <w:t>（三）人才培养中的思政教育</w:t>
      </w:r>
      <w:r>
        <w:rPr>
          <w:rFonts w:hint="eastAsia" w:ascii="Times New Roman" w:hAnsi="Times New Roman" w:eastAsia="楷体_GB2312" w:cs="Times New Roman"/>
          <w:kern w:val="2"/>
        </w:rPr>
        <w:t>、意识形态教育</w:t>
      </w:r>
    </w:p>
    <w:p>
      <w:pPr>
        <w:spacing w:line="600" w:lineRule="exact"/>
        <w:ind w:firstLine="640" w:firstLineChars="200"/>
        <w:rPr>
          <w:rFonts w:hint="eastAsia" w:ascii="Times New Roman" w:hAnsi="Times New Roman" w:eastAsia="仿宋_GB2312" w:cs="Times New Roman"/>
          <w:kern w:val="0"/>
          <w:sz w:val="32"/>
          <w:szCs w:val="32"/>
        </w:rPr>
      </w:pPr>
      <w:r>
        <w:rPr>
          <w:rFonts w:ascii="Times New Roman" w:hAnsi="Times New Roman" w:eastAsia="仿宋_GB2312" w:cs="Times New Roman"/>
          <w:kern w:val="0"/>
          <w:sz w:val="32"/>
          <w:szCs w:val="32"/>
        </w:rPr>
        <w:t>学校全面学习贯彻习近平总书记在学校思想政治理论课教师座谈会上讲话精神，在人才培养方案制定过程中贯彻习近平总书记重要讲话精神，按照党中央的要求，积极深化思政课改革，探索推进思政课课程建设，以创新思路、有力举措、务实作风推进思政课改革，为党和国家培养出更多担当民族复兴大任的有用人才。</w:t>
      </w:r>
      <w:r>
        <w:rPr>
          <w:rFonts w:hint="eastAsia" w:ascii="Times New Roman" w:hAnsi="Times New Roman" w:eastAsia="仿宋_GB2312" w:cs="Times New Roman"/>
          <w:kern w:val="0"/>
          <w:sz w:val="32"/>
          <w:szCs w:val="32"/>
        </w:rPr>
        <w:t>开设了“思想道德修养与法律基础”、“毛泽东思想邓小平理论三个代表重要思想”、“新时期中国特色社会主义理论”等课程。</w:t>
      </w:r>
    </w:p>
    <w:p>
      <w:pPr>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培训新生入学即进行心理健康普查、新生入学教育，每周召开专题班会，每月召开思想政治主题班会。每学期进行至少一次全员心理健康、思想政治、校园安全专题教育。每年春季学期组织学生参观爱国主义教育基地，进行爱国主义教育</w:t>
      </w:r>
      <w:r>
        <w:rPr>
          <w:rFonts w:hint="eastAsia" w:ascii="Times New Roman" w:hAnsi="Times New Roman" w:eastAsia="仿宋_GB2312" w:cs="Times New Roman"/>
          <w:kern w:val="0"/>
          <w:sz w:val="32"/>
          <w:szCs w:val="32"/>
        </w:rPr>
        <w:t>，意识形态教育常抓不懈</w:t>
      </w:r>
      <w:r>
        <w:rPr>
          <w:rFonts w:ascii="Times New Roman" w:hAnsi="Times New Roman" w:eastAsia="仿宋_GB2312" w:cs="Times New Roman"/>
          <w:kern w:val="0"/>
          <w:sz w:val="32"/>
          <w:szCs w:val="32"/>
        </w:rPr>
        <w:t>。</w:t>
      </w:r>
    </w:p>
    <w:p>
      <w:pPr>
        <w:spacing w:line="600" w:lineRule="exact"/>
        <w:ind w:firstLine="64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2"/>
          <w:szCs w:val="32"/>
        </w:rPr>
        <w:t>每周召开学生工作管理例会，每月召开学生管理全员大会，保证每学期对学生工作人员进行至少两次专题培训并建立完整的监督管理体系，确保学生思想政治教育落到实处。</w:t>
      </w:r>
    </w:p>
    <w:p>
      <w:pPr>
        <w:pStyle w:val="35"/>
        <w:ind w:firstLine="643" w:firstLineChars="200"/>
        <w:rPr>
          <w:rFonts w:ascii="Times New Roman" w:hAnsi="Times New Roman" w:eastAsia="楷体_GB2312" w:cs="Times New Roman"/>
          <w:kern w:val="2"/>
        </w:rPr>
      </w:pPr>
      <w:r>
        <w:rPr>
          <w:rFonts w:ascii="Times New Roman" w:hAnsi="Times New Roman" w:eastAsia="楷体_GB2312" w:cs="Times New Roman"/>
          <w:kern w:val="2"/>
        </w:rPr>
        <w:t>（四）学生学习效果</w:t>
      </w:r>
    </w:p>
    <w:p>
      <w:pPr>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学校在学生培养过程中以满足学习者学习发展需求为导向，以学习者职业能力提升为重点，以经济社会需求为导向，以提高成人学生知识、能力、素质为目标，培养具有较高综合素养、适应职业发展需要、具有创新意识的应用型人才。职业教育培训学生就业率</w:t>
      </w:r>
      <w:r>
        <w:rPr>
          <w:rFonts w:hint="eastAsia" w:ascii="Times New Roman" w:hAnsi="Times New Roman" w:eastAsia="仿宋_GB2312" w:cs="Times New Roman"/>
          <w:kern w:val="0"/>
          <w:sz w:val="32"/>
          <w:szCs w:val="32"/>
        </w:rPr>
        <w:t>83.9</w:t>
      </w:r>
      <w:r>
        <w:rPr>
          <w:rFonts w:ascii="Times New Roman" w:hAnsi="Times New Roman" w:eastAsia="仿宋_GB2312" w:cs="Times New Roman"/>
          <w:kern w:val="0"/>
          <w:sz w:val="32"/>
          <w:szCs w:val="32"/>
        </w:rPr>
        <w:t>%、出国留学培训学生出国率</w:t>
      </w:r>
      <w:r>
        <w:rPr>
          <w:rFonts w:hint="eastAsia" w:ascii="Times New Roman" w:hAnsi="Times New Roman" w:eastAsia="仿宋_GB2312" w:cs="Times New Roman"/>
          <w:kern w:val="0"/>
          <w:sz w:val="32"/>
          <w:szCs w:val="32"/>
        </w:rPr>
        <w:t>84.6</w:t>
      </w:r>
      <w:r>
        <w:rPr>
          <w:rFonts w:ascii="Times New Roman" w:hAnsi="Times New Roman" w:eastAsia="仿宋_GB2312" w:cs="Times New Roman"/>
          <w:kern w:val="0"/>
          <w:sz w:val="32"/>
          <w:szCs w:val="32"/>
        </w:rPr>
        <w:t>%。多年来，学生对学校的培养满意度较高，社会用人单位对毕业生的反馈评价良好。</w:t>
      </w:r>
    </w:p>
    <w:p>
      <w:pPr>
        <w:pStyle w:val="3"/>
        <w:numPr>
          <w:ilvl w:val="0"/>
          <w:numId w:val="0"/>
        </w:numPr>
        <w:spacing w:before="0" w:after="0" w:line="600" w:lineRule="exact"/>
        <w:ind w:leftChars="0" w:firstLine="640" w:firstLineChars="200"/>
        <w:rPr>
          <w:rFonts w:ascii="Times New Roman" w:hAnsi="Times New Roman" w:eastAsia="黑体" w:cs="Times New Roman"/>
          <w:b w:val="0"/>
        </w:rPr>
      </w:pPr>
      <w:r>
        <w:rPr>
          <w:rFonts w:hint="eastAsia" w:ascii="Times New Roman" w:hAnsi="Times New Roman" w:eastAsia="黑体" w:cs="Times New Roman"/>
          <w:b w:val="0"/>
          <w:lang w:eastAsia="zh-CN"/>
        </w:rPr>
        <w:t>四、</w:t>
      </w:r>
      <w:r>
        <w:rPr>
          <w:rFonts w:ascii="Times New Roman" w:hAnsi="Times New Roman" w:eastAsia="黑体" w:cs="Times New Roman"/>
          <w:b w:val="0"/>
        </w:rPr>
        <w:t>质量保证</w:t>
      </w:r>
    </w:p>
    <w:p>
      <w:pPr>
        <w:pStyle w:val="35"/>
        <w:ind w:left="630"/>
        <w:rPr>
          <w:rFonts w:ascii="Times New Roman" w:hAnsi="Times New Roman" w:eastAsia="楷体_GB2312" w:cs="Times New Roman"/>
          <w:kern w:val="2"/>
        </w:rPr>
      </w:pPr>
      <w:r>
        <w:rPr>
          <w:rFonts w:ascii="Times New Roman" w:hAnsi="Times New Roman" w:eastAsia="楷体_GB2312" w:cs="Times New Roman"/>
          <w:kern w:val="2"/>
        </w:rPr>
        <w:t>（一）制度建设</w:t>
      </w:r>
    </w:p>
    <w:p>
      <w:pPr>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学校始终秉承哈军工传统，严把教学质量关。学校坚持以制度管理促进高等学历继续教育工作规范化建设，逐步完善了高等学历继续教育办学体制，制定了高等学历继续教育和职业培训等相关制度，包括：《哈尔滨工程大学函授教育辅导站暂行管理办法》、《哈尔滨工程大学函授站职责》、修订了《哈尔滨工程大学成人高等教育函授站（教学点）信誉等级评估办法》、《哈尔滨工程大学高等学历继续教育本科毕业生学士学位授予工作细则》、《哈尔滨工程大学成人高等教育学生学籍管理规定》、《哈尔滨工程大学成人高等教育学生学籍管理补充规定》、《成人函授教育毕业设计（论文）工作管理规定》、《继续教育学院本（专）科生毕业论文规范》、《函授教师教学行为规范》、《课程质量督导制度》、《课程质量督导工作职责》、《哈尔滨工程大学成人学历教育函授站检查走访条例（暂行）》、《函授学生考核与记载办法》、《考试命题原则及试卷管理办法》、《职业教育培训项目招生管理规范（试行）》、《继续教育学院公用教室使用管理规定》、《职业教育培训项目招生管理规范（试行）》、《继续教育学院学生公寓消防安全管理规定（试行）》、《哈尔滨工程大学继续教育学院班主任管理办法（试行）》、《哈尔滨工程大学继续教育学院教学管理办法（试行）》、《继续教育学院班主任年度考核办法（试行）》、《继续教育学院招生接待办公区工作规范（试行）》、《继续教育学院项目管理办公室年度考核评价办法（试行）》等制度。</w:t>
      </w:r>
    </w:p>
    <w:p>
      <w:pPr>
        <w:pStyle w:val="35"/>
        <w:ind w:firstLine="630" w:firstLineChars="196"/>
        <w:rPr>
          <w:rFonts w:ascii="Times New Roman" w:hAnsi="Times New Roman" w:eastAsia="楷体_GB2312" w:cs="Times New Roman"/>
          <w:kern w:val="2"/>
        </w:rPr>
      </w:pPr>
      <w:r>
        <w:rPr>
          <w:rFonts w:ascii="Times New Roman" w:hAnsi="Times New Roman" w:eastAsia="楷体_GB2312" w:cs="Times New Roman"/>
          <w:kern w:val="2"/>
        </w:rPr>
        <w:t>（二）师资保障</w:t>
      </w:r>
    </w:p>
    <w:p>
      <w:pPr>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学校继续教育管理人员</w:t>
      </w:r>
      <w:r>
        <w:rPr>
          <w:rFonts w:hint="eastAsia" w:ascii="Times New Roman" w:hAnsi="Times New Roman" w:eastAsia="仿宋_GB2312" w:cs="Times New Roman"/>
          <w:kern w:val="0"/>
          <w:sz w:val="32"/>
          <w:szCs w:val="32"/>
        </w:rPr>
        <w:t>18</w:t>
      </w:r>
      <w:r>
        <w:rPr>
          <w:rFonts w:ascii="Times New Roman" w:hAnsi="Times New Roman" w:eastAsia="仿宋_GB2312" w:cs="Times New Roman"/>
          <w:kern w:val="0"/>
          <w:sz w:val="32"/>
          <w:szCs w:val="32"/>
        </w:rPr>
        <w:t>人，各函授站、项目办管理人员40余人。聘请各类授课教师</w:t>
      </w:r>
      <w:r>
        <w:rPr>
          <w:rFonts w:hint="eastAsia" w:ascii="Times New Roman" w:hAnsi="Times New Roman" w:eastAsia="仿宋_GB2312" w:cs="Times New Roman"/>
          <w:kern w:val="0"/>
          <w:sz w:val="32"/>
          <w:szCs w:val="32"/>
        </w:rPr>
        <w:t>100</w:t>
      </w:r>
      <w:r>
        <w:rPr>
          <w:rFonts w:ascii="Times New Roman" w:hAnsi="Times New Roman" w:eastAsia="仿宋_GB2312" w:cs="Times New Roman"/>
          <w:kern w:val="0"/>
          <w:sz w:val="32"/>
          <w:szCs w:val="32"/>
        </w:rPr>
        <w:t>余名，其中高级职称占30%，中级职称55%。</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020</w:t>
      </w:r>
      <w:r>
        <w:rPr>
          <w:rFonts w:hint="eastAsia" w:ascii="Times New Roman" w:hAnsi="Times New Roman" w:eastAsia="仿宋_GB2312" w:cs="Times New Roman"/>
          <w:kern w:val="0"/>
          <w:sz w:val="32"/>
          <w:szCs w:val="32"/>
        </w:rPr>
        <w:t>年，以英语课程为切入点，选聘2名教师组建学院专任教师队伍，今后将逐步扩展到思政、数学、计算机等通用课程。</w:t>
      </w:r>
      <w:r>
        <w:rPr>
          <w:rFonts w:ascii="Times New Roman" w:hAnsi="Times New Roman" w:eastAsia="仿宋_GB2312" w:cs="Times New Roman"/>
          <w:kern w:val="0"/>
          <w:sz w:val="32"/>
          <w:szCs w:val="32"/>
        </w:rPr>
        <w:t>依托哈尔滨工程大学相关专业教师及经学院审核合格的函授站遴选教师，组成继续教育授课、辅导教师队伍，学校为保障教学质量，定期审核授课教师、辅导教师的资质及教学效果，定期组织管理人员培训，传达学习贯彻相关文件精神，提升管理人员素质。各专业主干课程由学校教师授课、辅导、出题、评卷，答辩环节均由学校教师担任答辩委员会主任</w:t>
      </w:r>
      <w:r>
        <w:rPr>
          <w:rFonts w:hint="eastAsia" w:ascii="Times New Roman" w:hAnsi="Times New Roman" w:eastAsia="仿宋_GB2312" w:cs="Times New Roman"/>
          <w:kern w:val="0"/>
          <w:sz w:val="32"/>
          <w:szCs w:val="32"/>
          <w:lang w:eastAsia="zh-CN"/>
        </w:rPr>
        <w:t>。</w:t>
      </w:r>
    </w:p>
    <w:p>
      <w:pPr>
        <w:pStyle w:val="35"/>
        <w:ind w:left="630"/>
        <w:rPr>
          <w:rFonts w:ascii="Times New Roman" w:hAnsi="Times New Roman" w:eastAsia="楷体_GB2312" w:cs="Times New Roman"/>
          <w:kern w:val="2"/>
        </w:rPr>
      </w:pPr>
      <w:r>
        <w:rPr>
          <w:rFonts w:ascii="Times New Roman" w:hAnsi="Times New Roman" w:eastAsia="楷体_GB2312" w:cs="Times New Roman"/>
          <w:kern w:val="2"/>
        </w:rPr>
        <w:t>（三）资源建设</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kern w:val="0"/>
          <w:sz w:val="32"/>
          <w:szCs w:val="32"/>
        </w:rPr>
        <w:t>充分利用哈尔滨工程大学优质教育资源，提高教学质量。继续教育是大学服务社会的一个重要职能，将学校的优质教育、教学资源向有需要的学生进行有效输出是体现这一职能的重要基础。学校选择特色优质学科中的六个本科专业，利用信息技术，以计算机网络为媒介，开发并启用了高等学历继续教育网络教学管理平台，根据各专业人才培养方案分批次进行录制网络课程资源的录制更新，</w:t>
      </w:r>
      <w:r>
        <w:rPr>
          <w:rFonts w:hint="eastAsia" w:ascii="Times New Roman" w:hAnsi="Times New Roman" w:eastAsia="仿宋_GB2312" w:cs="仿宋_GB2312"/>
          <w:kern w:val="0"/>
          <w:sz w:val="32"/>
          <w:szCs w:val="32"/>
          <w:lang w:val="en-US" w:eastAsia="zh-CN"/>
        </w:rPr>
        <w:t>2020年，</w:t>
      </w:r>
      <w:r>
        <w:rPr>
          <w:rFonts w:hint="eastAsia" w:ascii="Times New Roman" w:hAnsi="Times New Roman" w:eastAsia="仿宋_GB2312" w:cs="仿宋_GB2312"/>
          <w:kern w:val="0"/>
          <w:sz w:val="32"/>
          <w:szCs w:val="32"/>
        </w:rPr>
        <w:t>进行了六个专业</w:t>
      </w:r>
      <w:r>
        <w:rPr>
          <w:rFonts w:ascii="Times New Roman" w:hAnsi="Times New Roman" w:eastAsia="仿宋_GB2312" w:cs="Times New Roman"/>
          <w:kern w:val="0"/>
          <w:sz w:val="32"/>
          <w:szCs w:val="32"/>
        </w:rPr>
        <w:t>70</w:t>
      </w:r>
      <w:r>
        <w:rPr>
          <w:rFonts w:hint="eastAsia" w:ascii="Times New Roman" w:hAnsi="Times New Roman" w:eastAsia="仿宋_GB2312" w:cs="仿宋_GB2312"/>
          <w:kern w:val="0"/>
          <w:sz w:val="32"/>
          <w:szCs w:val="32"/>
        </w:rPr>
        <w:t>余门课程的录制，通过探索和实践全新的教学方式，充分发挥优秀教师作用，进一步提高教学质量</w:t>
      </w:r>
      <w:r>
        <w:rPr>
          <w:rFonts w:hint="eastAsia" w:ascii="Times New Roman" w:hAnsi="Times New Roman" w:eastAsia="仿宋_GB2312" w:cs="仿宋_GB2312"/>
          <w:sz w:val="32"/>
          <w:szCs w:val="32"/>
        </w:rPr>
        <w:t>。</w:t>
      </w:r>
    </w:p>
    <w:p>
      <w:pPr>
        <w:pStyle w:val="35"/>
        <w:ind w:left="630"/>
        <w:rPr>
          <w:rFonts w:ascii="Times New Roman" w:hAnsi="Times New Roman" w:eastAsia="楷体_GB2312" w:cs="Times New Roman"/>
          <w:kern w:val="2"/>
        </w:rPr>
      </w:pPr>
      <w:r>
        <w:rPr>
          <w:rFonts w:hint="eastAsia" w:ascii="Times New Roman" w:hAnsi="Times New Roman" w:eastAsia="楷体_GB2312" w:cs="Times New Roman"/>
          <w:kern w:val="2"/>
        </w:rPr>
        <w:t>（四）合作办学及校外教学站点建设和管理情况</w:t>
      </w:r>
    </w:p>
    <w:p>
      <w:pPr>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学校对于合作办学及校外教学站点的建设及管理，严格执行国家、各省教育厅相关文件精神及学校出台的有关规定。学校从招生计划与招生专业的确定、招生宣传、招生录取至新生资格复查都严格执行教育行政部门相关政策和规定，函授站必须认真学习和贯彻国家有关高等学历继续教育的招生政策。各函授站严格执行由学校统一编制的教学计划、课程大纲和教材目录。各专业主干课程、毕业论文答辩等工作由继续教育学院负责，函授站协助完成学生管理、发布通知等辅助性工作。校本部全部课程的教学、考核、试卷及学生学籍管理等工作均由继续教育学院直接负责完成。面授期间，学校派出巡视人员监督和检查函授站教学组织情况和课堂教学情况，平时利用继续教育教学管理平台对函授站学生的学习情况进行监控，确保课程开课和面授学时达到教学计划要求。</w:t>
      </w:r>
    </w:p>
    <w:p>
      <w:pPr>
        <w:spacing w:line="600" w:lineRule="exact"/>
        <w:ind w:firstLine="600" w:firstLineChars="200"/>
        <w:jc w:val="center"/>
        <w:rPr>
          <w:rFonts w:ascii="Times New Roman" w:hAnsi="Times New Roman" w:eastAsia="楷体" w:cs="Times New Roman"/>
          <w:kern w:val="0"/>
          <w:sz w:val="30"/>
          <w:szCs w:val="30"/>
        </w:rPr>
      </w:pPr>
      <w:r>
        <w:rPr>
          <w:rFonts w:ascii="Times New Roman" w:hAnsi="Times New Roman" w:eastAsia="楷体" w:cs="Times New Roman"/>
          <w:kern w:val="0"/>
          <w:sz w:val="30"/>
          <w:szCs w:val="30"/>
        </w:rPr>
        <w:t>表</w:t>
      </w:r>
      <w:r>
        <w:rPr>
          <w:rFonts w:hint="eastAsia" w:ascii="Times New Roman" w:hAnsi="Times New Roman" w:eastAsia="楷体" w:cs="Times New Roman"/>
          <w:kern w:val="0"/>
          <w:sz w:val="30"/>
          <w:szCs w:val="30"/>
        </w:rPr>
        <w:t>6</w:t>
      </w:r>
      <w:r>
        <w:rPr>
          <w:rFonts w:ascii="Times New Roman" w:hAnsi="Times New Roman" w:eastAsia="楷体" w:cs="Times New Roman"/>
          <w:kern w:val="0"/>
          <w:sz w:val="30"/>
          <w:szCs w:val="30"/>
        </w:rPr>
        <w:t xml:space="preserve">    </w:t>
      </w:r>
      <w:r>
        <w:rPr>
          <w:rFonts w:hint="eastAsia" w:ascii="Times New Roman" w:hAnsi="Times New Roman" w:eastAsia="楷体" w:cs="Times New Roman"/>
          <w:kern w:val="0"/>
          <w:sz w:val="30"/>
          <w:szCs w:val="30"/>
        </w:rPr>
        <w:t>学校继续教育的合作情况</w:t>
      </w:r>
    </w:p>
    <w:tbl>
      <w:tblPr>
        <w:tblStyle w:val="14"/>
        <w:tblW w:w="92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754"/>
        <w:gridCol w:w="3992"/>
        <w:gridCol w:w="2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820"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b/>
                <w:kern w:val="0"/>
              </w:rPr>
            </w:pPr>
            <w:r>
              <w:rPr>
                <w:rFonts w:ascii="Times New Roman" w:hAnsi="Times New Roman" w:eastAsia="仿宋_GB2312" w:cs="Times New Roman"/>
                <w:b/>
                <w:kern w:val="0"/>
              </w:rPr>
              <w:t>序号</w:t>
            </w:r>
          </w:p>
        </w:tc>
        <w:tc>
          <w:tcPr>
            <w:tcW w:w="1754"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b/>
                <w:kern w:val="0"/>
              </w:rPr>
            </w:pPr>
            <w:r>
              <w:rPr>
                <w:rFonts w:ascii="Times New Roman" w:hAnsi="Times New Roman" w:eastAsia="仿宋_GB2312" w:cs="Times New Roman"/>
                <w:b/>
                <w:kern w:val="0"/>
              </w:rPr>
              <w:t>类别</w:t>
            </w:r>
          </w:p>
        </w:tc>
        <w:tc>
          <w:tcPr>
            <w:tcW w:w="3992"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b/>
                <w:kern w:val="0"/>
              </w:rPr>
            </w:pPr>
            <w:r>
              <w:rPr>
                <w:rFonts w:ascii="Times New Roman" w:hAnsi="Times New Roman" w:eastAsia="仿宋_GB2312" w:cs="Times New Roman"/>
                <w:b/>
                <w:kern w:val="0"/>
              </w:rPr>
              <w:t>合作单位</w:t>
            </w:r>
          </w:p>
        </w:tc>
        <w:tc>
          <w:tcPr>
            <w:tcW w:w="2658"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b/>
                <w:kern w:val="0"/>
              </w:rPr>
            </w:pPr>
            <w:r>
              <w:rPr>
                <w:rFonts w:ascii="Times New Roman" w:hAnsi="Times New Roman" w:eastAsia="仿宋_GB2312" w:cs="Times New Roman"/>
                <w:b/>
                <w:kern w:val="0"/>
              </w:rPr>
              <w:t>合作内容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820"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1</w:t>
            </w:r>
          </w:p>
        </w:tc>
        <w:tc>
          <w:tcPr>
            <w:tcW w:w="1754" w:type="dxa"/>
            <w:vMerge w:val="restart"/>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学历</w:t>
            </w:r>
          </w:p>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教育</w:t>
            </w:r>
          </w:p>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合作</w:t>
            </w:r>
          </w:p>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情况</w:t>
            </w:r>
          </w:p>
        </w:tc>
        <w:tc>
          <w:tcPr>
            <w:tcW w:w="3992" w:type="dxa"/>
            <w:vAlign w:val="center"/>
          </w:tcPr>
          <w:p>
            <w:pPr>
              <w:widowControl/>
              <w:adjustRightInd w:val="0"/>
              <w:snapToGrid w:val="0"/>
              <w:spacing w:line="380" w:lineRule="exact"/>
              <w:jc w:val="center"/>
              <w:textAlignment w:val="center"/>
              <w:rPr>
                <w:rFonts w:ascii="Times New Roman" w:hAnsi="Times New Roman" w:eastAsia="仿宋_GB2312" w:cs="Times New Roman"/>
                <w:kern w:val="0"/>
              </w:rPr>
            </w:pPr>
            <w:r>
              <w:rPr>
                <w:rFonts w:hint="eastAsia" w:ascii="Times New Roman" w:hAnsi="Times New Roman" w:eastAsia="仿宋_GB2312" w:cs="仿宋_GB2312"/>
                <w:kern w:val="0"/>
              </w:rPr>
              <w:t>渤海船舶职业学院</w:t>
            </w:r>
          </w:p>
        </w:tc>
        <w:tc>
          <w:tcPr>
            <w:tcW w:w="2658"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函授站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820"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2</w:t>
            </w:r>
          </w:p>
        </w:tc>
        <w:tc>
          <w:tcPr>
            <w:tcW w:w="1754" w:type="dxa"/>
            <w:vMerge w:val="continue"/>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p>
        </w:tc>
        <w:tc>
          <w:tcPr>
            <w:tcW w:w="3992" w:type="dxa"/>
            <w:vAlign w:val="center"/>
          </w:tcPr>
          <w:p>
            <w:pPr>
              <w:widowControl/>
              <w:adjustRightInd w:val="0"/>
              <w:snapToGrid w:val="0"/>
              <w:spacing w:line="380" w:lineRule="exact"/>
              <w:jc w:val="center"/>
              <w:textAlignment w:val="center"/>
              <w:rPr>
                <w:rFonts w:ascii="Times New Roman" w:hAnsi="Times New Roman" w:eastAsia="仿宋_GB2312" w:cs="Times New Roman"/>
                <w:kern w:val="0"/>
              </w:rPr>
            </w:pPr>
            <w:r>
              <w:rPr>
                <w:rFonts w:hint="eastAsia" w:ascii="Times New Roman" w:hAnsi="Times New Roman" w:eastAsia="仿宋_GB2312" w:cs="仿宋_GB2312"/>
                <w:kern w:val="0"/>
              </w:rPr>
              <w:t>青岛西海岸航海职业学校</w:t>
            </w:r>
          </w:p>
        </w:tc>
        <w:tc>
          <w:tcPr>
            <w:tcW w:w="2658"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函授站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820"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3</w:t>
            </w:r>
          </w:p>
        </w:tc>
        <w:tc>
          <w:tcPr>
            <w:tcW w:w="1754" w:type="dxa"/>
            <w:vMerge w:val="continue"/>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p>
        </w:tc>
        <w:tc>
          <w:tcPr>
            <w:tcW w:w="3992" w:type="dxa"/>
            <w:vAlign w:val="center"/>
          </w:tcPr>
          <w:p>
            <w:pPr>
              <w:widowControl/>
              <w:adjustRightInd w:val="0"/>
              <w:snapToGrid w:val="0"/>
              <w:spacing w:line="380" w:lineRule="exact"/>
              <w:jc w:val="center"/>
              <w:textAlignment w:val="center"/>
              <w:rPr>
                <w:rFonts w:ascii="Times New Roman" w:hAnsi="Times New Roman" w:eastAsia="仿宋_GB2312" w:cs="Times New Roman"/>
                <w:kern w:val="0"/>
              </w:rPr>
            </w:pPr>
            <w:r>
              <w:rPr>
                <w:rFonts w:hint="eastAsia" w:ascii="Times New Roman" w:hAnsi="Times New Roman" w:eastAsia="仿宋_GB2312" w:cs="仿宋_GB2312"/>
                <w:kern w:val="0"/>
              </w:rPr>
              <w:t>海口华晟科教有限公司</w:t>
            </w:r>
          </w:p>
        </w:tc>
        <w:tc>
          <w:tcPr>
            <w:tcW w:w="2658"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函授站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820"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4</w:t>
            </w:r>
          </w:p>
        </w:tc>
        <w:tc>
          <w:tcPr>
            <w:tcW w:w="1754" w:type="dxa"/>
            <w:vMerge w:val="restart"/>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非学历</w:t>
            </w:r>
          </w:p>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教育</w:t>
            </w:r>
          </w:p>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合作</w:t>
            </w:r>
          </w:p>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情况</w:t>
            </w:r>
          </w:p>
        </w:tc>
        <w:tc>
          <w:tcPr>
            <w:tcW w:w="3992"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中国（教育部）留学服务中心</w:t>
            </w:r>
          </w:p>
        </w:tc>
        <w:tc>
          <w:tcPr>
            <w:tcW w:w="2658"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共建出国留学培训基地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trPr>
        <w:tc>
          <w:tcPr>
            <w:tcW w:w="820"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5</w:t>
            </w:r>
          </w:p>
        </w:tc>
        <w:tc>
          <w:tcPr>
            <w:tcW w:w="1754" w:type="dxa"/>
            <w:vMerge w:val="continue"/>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p>
        </w:tc>
        <w:tc>
          <w:tcPr>
            <w:tcW w:w="3992"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人力资源和社会保障部</w:t>
            </w:r>
          </w:p>
        </w:tc>
        <w:tc>
          <w:tcPr>
            <w:tcW w:w="2658"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设立国家级专业技术</w:t>
            </w:r>
          </w:p>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人员继续教育基地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820"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6</w:t>
            </w:r>
          </w:p>
        </w:tc>
        <w:tc>
          <w:tcPr>
            <w:tcW w:w="1754" w:type="dxa"/>
            <w:vMerge w:val="continue"/>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p>
        </w:tc>
        <w:tc>
          <w:tcPr>
            <w:tcW w:w="3992"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澳大利亚纽卡斯尔大学</w:t>
            </w:r>
          </w:p>
        </w:tc>
        <w:tc>
          <w:tcPr>
            <w:tcW w:w="2658"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国际教育培训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820"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7</w:t>
            </w:r>
          </w:p>
        </w:tc>
        <w:tc>
          <w:tcPr>
            <w:tcW w:w="1754" w:type="dxa"/>
            <w:vMerge w:val="continue"/>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p>
        </w:tc>
        <w:tc>
          <w:tcPr>
            <w:tcW w:w="3992"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悉尼大学</w:t>
            </w:r>
          </w:p>
        </w:tc>
        <w:tc>
          <w:tcPr>
            <w:tcW w:w="2658"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国际教育培训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820"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8</w:t>
            </w:r>
          </w:p>
        </w:tc>
        <w:tc>
          <w:tcPr>
            <w:tcW w:w="1754" w:type="dxa"/>
            <w:vMerge w:val="continue"/>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p>
        </w:tc>
        <w:tc>
          <w:tcPr>
            <w:tcW w:w="3992"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rPr>
              <w:t>悉尼科技大学</w:t>
            </w:r>
          </w:p>
        </w:tc>
        <w:tc>
          <w:tcPr>
            <w:tcW w:w="2658"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国际教育培训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820"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9</w:t>
            </w:r>
          </w:p>
        </w:tc>
        <w:tc>
          <w:tcPr>
            <w:tcW w:w="1754" w:type="dxa"/>
            <w:vMerge w:val="continue"/>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p>
        </w:tc>
        <w:tc>
          <w:tcPr>
            <w:tcW w:w="3992"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英国</w:t>
            </w:r>
            <w:r>
              <w:rPr>
                <w:rFonts w:ascii="Times New Roman" w:hAnsi="Times New Roman" w:eastAsia="仿宋_GB2312" w:cs="Times New Roman"/>
              </w:rPr>
              <w:t>阿伯丁大学</w:t>
            </w:r>
          </w:p>
        </w:tc>
        <w:tc>
          <w:tcPr>
            <w:tcW w:w="2658"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国际教育培训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820"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10</w:t>
            </w:r>
          </w:p>
        </w:tc>
        <w:tc>
          <w:tcPr>
            <w:tcW w:w="1754" w:type="dxa"/>
            <w:vMerge w:val="continue"/>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p>
        </w:tc>
        <w:tc>
          <w:tcPr>
            <w:tcW w:w="3992"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英国罗伯特高</w:t>
            </w:r>
            <w:r>
              <w:rPr>
                <w:rFonts w:hint="eastAsia" w:ascii="Times New Roman" w:hAnsi="Times New Roman" w:eastAsia="仿宋_GB2312" w:cs="Times New Roman"/>
                <w:kern w:val="0"/>
              </w:rPr>
              <w:t>登</w:t>
            </w:r>
            <w:r>
              <w:rPr>
                <w:rFonts w:ascii="Times New Roman" w:hAnsi="Times New Roman" w:eastAsia="仿宋_GB2312" w:cs="Times New Roman"/>
                <w:kern w:val="0"/>
              </w:rPr>
              <w:t>大学</w:t>
            </w:r>
          </w:p>
        </w:tc>
        <w:tc>
          <w:tcPr>
            <w:tcW w:w="2658"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国际教育培训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820"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11</w:t>
            </w:r>
          </w:p>
        </w:tc>
        <w:tc>
          <w:tcPr>
            <w:tcW w:w="1754" w:type="dxa"/>
            <w:vMerge w:val="continue"/>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p>
        </w:tc>
        <w:tc>
          <w:tcPr>
            <w:tcW w:w="3992"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北京衡达投资有限公司</w:t>
            </w:r>
          </w:p>
        </w:tc>
        <w:tc>
          <w:tcPr>
            <w:tcW w:w="2658"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出国留学培训</w:t>
            </w:r>
          </w:p>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职业教育培训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820"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hint="eastAsia" w:ascii="Times New Roman" w:hAnsi="Times New Roman" w:eastAsia="仿宋_GB2312" w:cs="Times New Roman"/>
                <w:kern w:val="0"/>
              </w:rPr>
              <w:t>12</w:t>
            </w:r>
          </w:p>
          <w:p>
            <w:pPr>
              <w:widowControl/>
              <w:adjustRightInd w:val="0"/>
              <w:snapToGrid w:val="0"/>
              <w:spacing w:line="380" w:lineRule="exact"/>
              <w:contextualSpacing/>
              <w:jc w:val="center"/>
              <w:textAlignment w:val="center"/>
              <w:rPr>
                <w:rFonts w:ascii="Times New Roman" w:hAnsi="Times New Roman" w:eastAsia="仿宋_GB2312" w:cs="Times New Roman"/>
                <w:kern w:val="0"/>
              </w:rPr>
            </w:pPr>
          </w:p>
        </w:tc>
        <w:tc>
          <w:tcPr>
            <w:tcW w:w="1754" w:type="dxa"/>
            <w:vMerge w:val="continue"/>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p>
        </w:tc>
        <w:tc>
          <w:tcPr>
            <w:tcW w:w="3992"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hint="eastAsia" w:ascii="Times New Roman" w:hAnsi="Times New Roman" w:eastAsia="仿宋_GB2312" w:cs="Times New Roman"/>
                <w:kern w:val="0"/>
              </w:rPr>
              <w:t>北京中教新博雅国际教育科技有限公司</w:t>
            </w:r>
          </w:p>
        </w:tc>
        <w:tc>
          <w:tcPr>
            <w:tcW w:w="2658"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hint="eastAsia" w:ascii="Times New Roman" w:hAnsi="Times New Roman" w:eastAsia="仿宋_GB2312" w:cs="Times New Roman"/>
                <w:kern w:val="0"/>
              </w:rPr>
              <w:t>出国留学培训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820"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hint="eastAsia" w:ascii="Times New Roman" w:hAnsi="Times New Roman" w:eastAsia="仿宋_GB2312" w:cs="Times New Roman"/>
                <w:kern w:val="0"/>
              </w:rPr>
              <w:t>13</w:t>
            </w:r>
          </w:p>
        </w:tc>
        <w:tc>
          <w:tcPr>
            <w:tcW w:w="1754" w:type="dxa"/>
            <w:vMerge w:val="continue"/>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p>
        </w:tc>
        <w:tc>
          <w:tcPr>
            <w:tcW w:w="3992"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hint="eastAsia" w:ascii="Times New Roman" w:hAnsi="Times New Roman" w:eastAsia="仿宋_GB2312" w:cs="Times New Roman"/>
                <w:kern w:val="0"/>
              </w:rPr>
              <w:t>哈尔滨外服出入境服务有限公司</w:t>
            </w:r>
          </w:p>
        </w:tc>
        <w:tc>
          <w:tcPr>
            <w:tcW w:w="2658"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hint="eastAsia" w:ascii="Times New Roman" w:hAnsi="Times New Roman" w:eastAsia="仿宋_GB2312" w:cs="Times New Roman"/>
                <w:kern w:val="0"/>
              </w:rPr>
              <w:t>出国留学培训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820"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hint="eastAsia" w:ascii="Times New Roman" w:hAnsi="Times New Roman" w:eastAsia="仿宋_GB2312" w:cs="Times New Roman"/>
                <w:kern w:val="0"/>
              </w:rPr>
              <w:t>14</w:t>
            </w:r>
          </w:p>
        </w:tc>
        <w:tc>
          <w:tcPr>
            <w:tcW w:w="1754" w:type="dxa"/>
            <w:vMerge w:val="continue"/>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p>
        </w:tc>
        <w:tc>
          <w:tcPr>
            <w:tcW w:w="3992"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北京聚华教育投资有限公司</w:t>
            </w:r>
          </w:p>
        </w:tc>
        <w:tc>
          <w:tcPr>
            <w:tcW w:w="2658"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职业教育培训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820"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hint="eastAsia" w:ascii="Times New Roman" w:hAnsi="Times New Roman" w:eastAsia="仿宋_GB2312" w:cs="Times New Roman"/>
                <w:kern w:val="0"/>
              </w:rPr>
              <w:t>15</w:t>
            </w:r>
          </w:p>
        </w:tc>
        <w:tc>
          <w:tcPr>
            <w:tcW w:w="1754" w:type="dxa"/>
            <w:vMerge w:val="continue"/>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p>
        </w:tc>
        <w:tc>
          <w:tcPr>
            <w:tcW w:w="3992"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北京北软高科科技发展有限公司</w:t>
            </w:r>
          </w:p>
        </w:tc>
        <w:tc>
          <w:tcPr>
            <w:tcW w:w="2658"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职业教育培训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trPr>
        <w:tc>
          <w:tcPr>
            <w:tcW w:w="820"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hint="eastAsia" w:ascii="Times New Roman" w:hAnsi="Times New Roman" w:eastAsia="仿宋_GB2312" w:cs="Times New Roman"/>
                <w:kern w:val="0"/>
              </w:rPr>
              <w:t>1</w:t>
            </w:r>
            <w:r>
              <w:rPr>
                <w:rFonts w:ascii="Times New Roman" w:hAnsi="Times New Roman" w:eastAsia="仿宋_GB2312" w:cs="Times New Roman"/>
                <w:kern w:val="0"/>
              </w:rPr>
              <w:t>6</w:t>
            </w:r>
          </w:p>
        </w:tc>
        <w:tc>
          <w:tcPr>
            <w:tcW w:w="1754" w:type="dxa"/>
            <w:vMerge w:val="continue"/>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p>
        </w:tc>
        <w:tc>
          <w:tcPr>
            <w:tcW w:w="3992"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hint="eastAsia" w:ascii="Times New Roman" w:hAnsi="Times New Roman" w:eastAsia="仿宋_GB2312" w:cs="Times New Roman"/>
                <w:kern w:val="0"/>
              </w:rPr>
              <w:t>青岛双星集团</w:t>
            </w:r>
          </w:p>
        </w:tc>
        <w:tc>
          <w:tcPr>
            <w:tcW w:w="2658" w:type="dxa"/>
            <w:vAlign w:val="center"/>
          </w:tcPr>
          <w:p>
            <w:pPr>
              <w:widowControl/>
              <w:adjustRightInd w:val="0"/>
              <w:snapToGrid w:val="0"/>
              <w:spacing w:line="380" w:lineRule="exact"/>
              <w:contextualSpacing/>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职业教育培训</w:t>
            </w:r>
          </w:p>
        </w:tc>
      </w:tr>
    </w:tbl>
    <w:p>
      <w:pPr>
        <w:pStyle w:val="35"/>
        <w:ind w:left="630"/>
        <w:rPr>
          <w:rFonts w:ascii="Times New Roman" w:hAnsi="Times New Roman" w:eastAsia="楷体_GB2312" w:cs="Times New Roman"/>
          <w:kern w:val="2"/>
        </w:rPr>
      </w:pPr>
    </w:p>
    <w:p>
      <w:pPr>
        <w:pStyle w:val="35"/>
        <w:ind w:left="630"/>
        <w:rPr>
          <w:rFonts w:ascii="Times New Roman" w:hAnsi="Times New Roman" w:eastAsia="楷体_GB2312" w:cs="Times New Roman"/>
          <w:kern w:val="2"/>
        </w:rPr>
      </w:pPr>
      <w:r>
        <w:rPr>
          <w:rFonts w:hint="eastAsia" w:ascii="Times New Roman" w:hAnsi="Times New Roman" w:eastAsia="楷体_GB2312" w:cs="Times New Roman"/>
          <w:kern w:val="2"/>
        </w:rPr>
        <w:t>（五）内部外部质量保障</w:t>
      </w:r>
    </w:p>
    <w:p>
      <w:pPr>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根据学校年度发展目标，制定学校继续教育年度工作计划，紧密围绕工作目标和质量标准，提出切实可行的具体建设措施和明确的预期成效，同时各部门明确提升管理服务质量的具体措施，各部门均结合学校整体发展、专业建设、课程建设、师资队伍建设的目标和标准，建设自我诊断和改进机制。通过相关省份教育厅年度工作检查及评估，学校定期进行工作质量诊断，防微杜渐，发现问题，及时解决，并通过完善工作流程和工作制度，防止类似问题的再次发生，从而不断改进工作质量和教学质量。深入开展内涵式建设，网络平台及课程资源建设，强化内控机制，提升办学质量，维护学校社会声誉，充分发挥高校服务社会和地方经济建设职能。</w:t>
      </w:r>
    </w:p>
    <w:p>
      <w:pPr>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根据各省教育厅办公室关于印发相关管理办法和《关于进一步加强高等学历继续教育函授站和现代远程教育校外学习中心管理的通知》等文件精神，学校认真做好年度函授站备案工作，对照检查评估指标进行自查工作，接受各省教育厅就办学指导思想、定位与培养目标、人员与基础设施条件、课程设置、教学资源建设、学籍管理、教学管理、教学效果、安全保障与稳定等方面的各项检查。</w:t>
      </w:r>
    </w:p>
    <w:p>
      <w:pPr>
        <w:pStyle w:val="35"/>
        <w:ind w:left="630"/>
        <w:rPr>
          <w:rFonts w:ascii="Times New Roman" w:hAnsi="Times New Roman" w:eastAsia="楷体_GB2312" w:cs="Times New Roman"/>
          <w:kern w:val="2"/>
        </w:rPr>
      </w:pPr>
      <w:r>
        <w:rPr>
          <w:rFonts w:hint="eastAsia" w:ascii="Times New Roman" w:hAnsi="Times New Roman" w:eastAsia="楷体_GB2312" w:cs="Times New Roman"/>
          <w:kern w:val="2"/>
        </w:rPr>
        <w:t>（六）信息化建设</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kern w:val="0"/>
          <w:sz w:val="32"/>
          <w:szCs w:val="32"/>
        </w:rPr>
        <w:t>十九大报告提出</w:t>
      </w:r>
      <w:r>
        <w:rPr>
          <w:rFonts w:hint="eastAsia"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办好网络教育</w:t>
      </w:r>
      <w:r>
        <w:rPr>
          <w:rFonts w:hint="eastAsia"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强调了网络教育在全面开创教育改革发展新局面中的重要作用。学校重新建设了继续教育学院网站，提供信息发布、查询、教学管理平台等相关端口及拓展空间，为学院今后实现信息化建设奠定基础。继续教育学院投入资金建设了高等学历继续教学管理平台、一间现代化多媒体录播教室，以服务学生为中心，满足以计算机网络为媒介，探索和实践全新的教学方式，根据线上线下混合教学模式，启用高等学历继续教育网络教学管理平台，学生在线进行线上学习、练习，学校根据平台数据掌握学生学习进度，保障学习质量，进行对学生从报到、学习、管理、毕业等信息的全过程网络化管理，以适应时代发展的需要</w:t>
      </w:r>
      <w:r>
        <w:rPr>
          <w:rFonts w:hint="eastAsia" w:ascii="Times New Roman" w:hAnsi="Times New Roman" w:eastAsia="仿宋_GB2312" w:cs="仿宋_GB2312"/>
          <w:sz w:val="32"/>
          <w:szCs w:val="32"/>
        </w:rPr>
        <w:t>。</w:t>
      </w:r>
    </w:p>
    <w:p>
      <w:pPr>
        <w:pStyle w:val="35"/>
        <w:ind w:left="630"/>
        <w:rPr>
          <w:rFonts w:ascii="Times New Roman" w:hAnsi="Times New Roman" w:eastAsia="楷体_GB2312" w:cs="Times New Roman"/>
          <w:kern w:val="2"/>
        </w:rPr>
      </w:pPr>
      <w:r>
        <w:rPr>
          <w:rFonts w:hint="eastAsia" w:ascii="Times New Roman" w:hAnsi="Times New Roman" w:eastAsia="楷体_GB2312" w:cs="楷体_GB2312"/>
          <w:kern w:val="2"/>
        </w:rPr>
        <w:t>（七）经费保障</w:t>
      </w:r>
    </w:p>
    <w:p>
      <w:pPr>
        <w:spacing w:line="600" w:lineRule="exact"/>
        <w:ind w:firstLine="640" w:firstLineChars="200"/>
        <w:rPr>
          <w:rFonts w:ascii="Times New Roman" w:hAnsi="Times New Roman" w:eastAsia="仿宋_GB2312" w:cs="仿宋_GB2312"/>
          <w:sz w:val="32"/>
          <w:szCs w:val="32"/>
        </w:rPr>
      </w:pPr>
      <w:r>
        <w:rPr>
          <w:rFonts w:ascii="Times New Roman" w:hAnsi="Times New Roman" w:eastAsia="仿宋_GB2312" w:cs="Times New Roman"/>
          <w:kern w:val="0"/>
          <w:sz w:val="32"/>
          <w:szCs w:val="32"/>
        </w:rPr>
        <w:t>2020</w:t>
      </w:r>
      <w:r>
        <w:rPr>
          <w:rFonts w:hint="eastAsia" w:ascii="Times New Roman" w:hAnsi="Times New Roman" w:eastAsia="仿宋_GB2312" w:cs="仿宋_GB2312"/>
          <w:kern w:val="0"/>
          <w:sz w:val="32"/>
          <w:szCs w:val="32"/>
        </w:rPr>
        <w:t>年度，高等学历继续教育学费大部分用于教学管理，主要用于招生、讲课费、班主任费、毕业设计（论文）指导及答辩、评卷、监考等日常教学支出和学习管理平台资源建设等。</w:t>
      </w:r>
    </w:p>
    <w:p>
      <w:pPr>
        <w:pStyle w:val="3"/>
        <w:numPr>
          <w:ilvl w:val="0"/>
          <w:numId w:val="0"/>
        </w:numPr>
        <w:spacing w:before="0" w:after="0" w:line="600" w:lineRule="exact"/>
        <w:ind w:leftChars="0" w:firstLine="640" w:firstLineChars="200"/>
        <w:rPr>
          <w:rFonts w:ascii="Times New Roman" w:hAnsi="Times New Roman" w:eastAsia="黑体" w:cs="Times New Roman"/>
          <w:b w:val="0"/>
        </w:rPr>
      </w:pPr>
      <w:r>
        <w:rPr>
          <w:rFonts w:hint="eastAsia" w:ascii="Times New Roman" w:hAnsi="Times New Roman" w:eastAsia="黑体" w:cs="Times New Roman"/>
          <w:b w:val="0"/>
          <w:lang w:eastAsia="zh-CN"/>
        </w:rPr>
        <w:t>五、</w:t>
      </w:r>
      <w:r>
        <w:rPr>
          <w:rFonts w:ascii="Times New Roman" w:hAnsi="Times New Roman" w:eastAsia="黑体" w:cs="Times New Roman"/>
          <w:b w:val="0"/>
        </w:rPr>
        <w:t>社会贡献</w:t>
      </w:r>
    </w:p>
    <w:p>
      <w:pPr>
        <w:pStyle w:val="35"/>
        <w:ind w:firstLine="630" w:firstLineChars="196"/>
        <w:rPr>
          <w:rFonts w:ascii="Times New Roman" w:hAnsi="Times New Roman" w:eastAsia="楷体_GB2312" w:cs="Times New Roman"/>
          <w:kern w:val="2"/>
        </w:rPr>
      </w:pPr>
      <w:r>
        <w:rPr>
          <w:rFonts w:hint="eastAsia" w:ascii="Times New Roman" w:hAnsi="Times New Roman" w:eastAsia="楷体_GB2312" w:cs="楷体_GB2312"/>
          <w:kern w:val="2"/>
        </w:rPr>
        <w:t>（一）继续教育服务国家战略、行业及经济社会发展与学习型社会建设情况</w:t>
      </w:r>
    </w:p>
    <w:p>
      <w:pPr>
        <w:spacing w:line="600" w:lineRule="exact"/>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新形势下高校继续教育要将定位体现在服从服务国家经济社会发展的战略大局上。作为服务社会的窗口，继续教育不仅是连接高校与社会的桥梁和纽带，而且助推了高校与政府、企业、社会之间的沟通与交流。学校充分认识到服务地方经济建设，促进当地社会发展的重要性，充分发挥特色学科优势，依托产业行业，积极开展广泛的合作办学，尽最大限度的利用学校在教学科研方面的优势。</w:t>
      </w:r>
      <w:r>
        <w:rPr>
          <w:rFonts w:hint="eastAsia" w:ascii="Times New Roman" w:hAnsi="Times New Roman" w:eastAsia="仿宋_GB2312" w:cs="Times New Roman"/>
          <w:kern w:val="0"/>
          <w:sz w:val="32"/>
          <w:szCs w:val="32"/>
        </w:rPr>
        <w:t>2020年，为推动船舶工业智能化转型，促进人工智能技术广泛应用，通过中国造船工程学会主持的“科创中国”造船科技服务活动，面向船舶制造行业企事业单位，成功举办了“船舶与海洋装备制造业人员培训班”，受到参训单位的认可和好评。多年来，学校继续教育紧紧围绕国家战</w:t>
      </w:r>
      <w:r>
        <w:rPr>
          <w:rFonts w:hint="eastAsia" w:ascii="Times New Roman" w:hAnsi="Times New Roman" w:eastAsia="仿宋_GB2312" w:cs="仿宋_GB2312"/>
          <w:kern w:val="0"/>
          <w:sz w:val="32"/>
          <w:szCs w:val="32"/>
        </w:rPr>
        <w:t>略、经济社会发展与学习型社会建设的需要，结合学校自身的办学优势，在</w:t>
      </w:r>
      <w:r>
        <w:rPr>
          <w:rFonts w:hint="eastAsia"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三海一核</w:t>
      </w:r>
      <w:r>
        <w:rPr>
          <w:rFonts w:hint="eastAsia"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领域，通过多种学习形式，以学习者职业能力提升为重点，以经济社会需求为导向，以提高高等学历继续教育学生知识、能力、素质为目标，培养具有较高综合素养、适应职业发展需要、具有创新意识的应用型人才，为行业、社会培养了</w:t>
      </w:r>
      <w:r>
        <w:rPr>
          <w:rFonts w:ascii="Times New Roman" w:hAnsi="Times New Roman" w:eastAsia="仿宋_GB2312" w:cs="Times New Roman"/>
          <w:kern w:val="0"/>
          <w:sz w:val="32"/>
          <w:szCs w:val="32"/>
        </w:rPr>
        <w:t>4</w:t>
      </w:r>
      <w:r>
        <w:rPr>
          <w:rFonts w:hint="eastAsia" w:ascii="Times New Roman" w:hAnsi="Times New Roman" w:eastAsia="仿宋_GB2312" w:cs="仿宋_GB2312"/>
          <w:kern w:val="0"/>
          <w:sz w:val="32"/>
          <w:szCs w:val="32"/>
        </w:rPr>
        <w:t>万余名各类人才。</w:t>
      </w:r>
    </w:p>
    <w:p>
      <w:pPr>
        <w:pStyle w:val="35"/>
        <w:ind w:left="630"/>
        <w:rPr>
          <w:rFonts w:ascii="Times New Roman" w:hAnsi="Times New Roman" w:eastAsia="楷体_GB2312" w:cs="Times New Roman"/>
          <w:kern w:val="2"/>
        </w:rPr>
      </w:pPr>
      <w:r>
        <w:rPr>
          <w:rFonts w:hint="eastAsia" w:ascii="Times New Roman" w:hAnsi="Times New Roman" w:eastAsia="楷体_GB2312" w:cs="楷体_GB2312"/>
          <w:kern w:val="2"/>
        </w:rPr>
        <w:t>（二）资源开放服务情况</w:t>
      </w:r>
    </w:p>
    <w:p>
      <w:pPr>
        <w:spacing w:line="600" w:lineRule="exact"/>
        <w:rPr>
          <w:rFonts w:hint="eastAsia" w:ascii="Times New Roman" w:hAnsi="Times New Roman" w:eastAsia="仿宋_GB2312" w:cs="Times New Roman"/>
          <w:kern w:val="0"/>
          <w:sz w:val="32"/>
          <w:szCs w:val="32"/>
        </w:rPr>
      </w:pPr>
      <w:r>
        <w:rPr>
          <w:rFonts w:ascii="Times New Roman" w:hAnsi="Times New Roman" w:eastAsia="楷体_GB2312" w:cs="Times New Roman"/>
        </w:rPr>
        <w:t xml:space="preserve">     </w:t>
      </w:r>
      <w:r>
        <w:rPr>
          <w:rFonts w:hint="eastAsia" w:ascii="Times New Roman" w:hAnsi="Times New Roman" w:eastAsia="仿宋_GB2312" w:cs="仿宋_GB2312"/>
          <w:kern w:val="0"/>
          <w:sz w:val="32"/>
          <w:szCs w:val="32"/>
        </w:rPr>
        <w:t>学校包括录播教室等继续教育资源向校内开放、共享，同时为其他有需求的兄弟高校提供开放服务。</w:t>
      </w:r>
      <w:r>
        <w:rPr>
          <w:rFonts w:hint="eastAsia" w:ascii="Times New Roman" w:hAnsi="Times New Roman" w:eastAsia="仿宋_GB2312" w:cs="Times New Roman"/>
          <w:kern w:val="0"/>
          <w:sz w:val="32"/>
          <w:szCs w:val="32"/>
        </w:rPr>
        <w:t>学校建设的省级网络助学示范平台向省内各高校开放，黑龙江大学、哈尔滨理工大学、哈尔滨商业大学等七所院校已经通过该平台开展网络助学及评价考核工作。</w:t>
      </w:r>
    </w:p>
    <w:p>
      <w:pPr>
        <w:numPr>
          <w:ilvl w:val="0"/>
          <w:numId w:val="1"/>
        </w:numPr>
        <w:spacing w:line="600" w:lineRule="exact"/>
        <w:ind w:firstLine="643" w:firstLineChars="200"/>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落实“不忘初心”主题教育成果，开展志愿服务活动</w:t>
      </w:r>
    </w:p>
    <w:p>
      <w:pPr>
        <w:spacing w:line="600" w:lineRule="exact"/>
        <w:rPr>
          <w:rFonts w:hint="eastAsia" w:ascii="Times New Roman" w:hAnsi="Times New Roman" w:eastAsia="仿宋_GB2312" w:cs="Times New Roman"/>
          <w:kern w:val="0"/>
          <w:sz w:val="32"/>
          <w:szCs w:val="32"/>
        </w:rPr>
      </w:pPr>
      <w:r>
        <w:rPr>
          <w:rFonts w:hint="eastAsia" w:ascii="Times New Roman" w:hAnsi="Times New Roman" w:eastAsia="楷体_GB2312" w:cs="Times New Roman"/>
          <w:b/>
          <w:bCs/>
          <w:sz w:val="32"/>
          <w:szCs w:val="32"/>
        </w:rPr>
        <w:t xml:space="preserve">   </w:t>
      </w:r>
      <w:r>
        <w:rPr>
          <w:rFonts w:hint="eastAsia" w:ascii="Times New Roman" w:hAnsi="Times New Roman" w:eastAsia="仿宋_GB2312" w:cs="Times New Roman"/>
          <w:kern w:val="0"/>
          <w:sz w:val="32"/>
          <w:szCs w:val="32"/>
        </w:rPr>
        <w:t xml:space="preserve"> 志愿服务活</w:t>
      </w:r>
      <w:r>
        <w:rPr>
          <w:rFonts w:ascii="Times New Roman" w:hAnsi="Times New Roman" w:eastAsia="仿宋_GB2312" w:cs="Times New Roman"/>
          <w:kern w:val="0"/>
          <w:sz w:val="32"/>
          <w:szCs w:val="32"/>
        </w:rPr>
        <w:t>动面向全校教职工子弟</w:t>
      </w:r>
      <w:r>
        <w:rPr>
          <w:rFonts w:hint="eastAsia" w:ascii="Times New Roman" w:hAnsi="Times New Roman" w:eastAsia="仿宋_GB2312" w:cs="Times New Roman"/>
          <w:kern w:val="0"/>
          <w:sz w:val="32"/>
          <w:szCs w:val="32"/>
        </w:rPr>
        <w:t>（小学、初中），开设小学英语班和初中英语班，上课时间为12月1日-12月26日（每周二下午、周六上午），课程主要内容为新概念英语相关知识。此次活动受到了教师的欢迎，解决了教师的实际需求。我们将在本次志愿活动基础上，不断总结经验，丰富辅导科目，优化上课时间，满足学校教职工子女教育需求。疫情期间，</w:t>
      </w:r>
      <w:r>
        <w:rPr>
          <w:rFonts w:hint="eastAsia" w:ascii="Times New Roman" w:hAnsi="Times New Roman" w:eastAsia="仿宋_GB2312" w:cs="Times New Roman"/>
          <w:kern w:val="0"/>
          <w:sz w:val="32"/>
          <w:szCs w:val="32"/>
          <w:lang w:eastAsia="zh-CN"/>
        </w:rPr>
        <w:t>学院教职工师生代表积极参加学校内外的抗疫志愿服务活动</w:t>
      </w:r>
      <w:r>
        <w:rPr>
          <w:rFonts w:hint="eastAsia" w:ascii="Times New Roman" w:hAnsi="Times New Roman" w:eastAsia="仿宋_GB2312" w:cs="Times New Roman"/>
          <w:kern w:val="0"/>
          <w:sz w:val="32"/>
          <w:szCs w:val="32"/>
        </w:rPr>
        <w:t>，为所在社区</w:t>
      </w:r>
      <w:r>
        <w:rPr>
          <w:rFonts w:hint="eastAsia" w:ascii="Times New Roman" w:hAnsi="Times New Roman" w:eastAsia="仿宋_GB2312" w:cs="Times New Roman"/>
          <w:kern w:val="0"/>
          <w:sz w:val="32"/>
          <w:szCs w:val="32"/>
          <w:lang w:eastAsia="zh-CN"/>
        </w:rPr>
        <w:t>抗疫工作</w:t>
      </w:r>
      <w:r>
        <w:rPr>
          <w:rFonts w:hint="eastAsia" w:ascii="Times New Roman" w:hAnsi="Times New Roman" w:eastAsia="仿宋_GB2312" w:cs="Times New Roman"/>
          <w:kern w:val="0"/>
          <w:sz w:val="32"/>
          <w:szCs w:val="32"/>
        </w:rPr>
        <w:t>提供助力。</w:t>
      </w:r>
    </w:p>
    <w:p>
      <w:pPr>
        <w:pStyle w:val="3"/>
        <w:numPr>
          <w:ilvl w:val="0"/>
          <w:numId w:val="0"/>
        </w:numPr>
        <w:spacing w:before="0" w:after="0" w:line="600" w:lineRule="exact"/>
        <w:ind w:leftChars="0" w:firstLine="640" w:firstLineChars="200"/>
        <w:rPr>
          <w:rFonts w:ascii="Times New Roman" w:hAnsi="Times New Roman" w:eastAsia="黑体" w:cs="Times New Roman"/>
          <w:b w:val="0"/>
        </w:rPr>
      </w:pPr>
      <w:r>
        <w:rPr>
          <w:rFonts w:hint="eastAsia" w:ascii="Times New Roman" w:hAnsi="Times New Roman" w:eastAsia="黑体" w:cs="Times New Roman"/>
          <w:b w:val="0"/>
          <w:lang w:eastAsia="zh-CN"/>
        </w:rPr>
        <w:t>六、</w:t>
      </w:r>
      <w:r>
        <w:rPr>
          <w:rFonts w:ascii="Times New Roman" w:hAnsi="Times New Roman" w:eastAsia="黑体" w:cs="Times New Roman"/>
          <w:b w:val="0"/>
        </w:rPr>
        <w:t>特色创新</w:t>
      </w:r>
    </w:p>
    <w:p>
      <w:pPr>
        <w:numPr>
          <w:ilvl w:val="0"/>
          <w:numId w:val="0"/>
        </w:numPr>
        <w:spacing w:line="600" w:lineRule="exact"/>
        <w:ind w:firstLine="643" w:firstLineChars="200"/>
        <w:rPr>
          <w:rFonts w:hint="eastAsia" w:ascii="Times New Roman" w:hAnsi="Times New Roman" w:eastAsia="楷体_GB2312" w:cs="Times New Roman"/>
          <w:b/>
          <w:bCs/>
          <w:sz w:val="32"/>
          <w:szCs w:val="32"/>
          <w:lang w:eastAsia="zh-CN"/>
        </w:rPr>
      </w:pPr>
      <w:r>
        <w:rPr>
          <w:rFonts w:hint="eastAsia" w:ascii="Times New Roman" w:hAnsi="Times New Roman" w:eastAsia="楷体_GB2312" w:cs="Times New Roman"/>
          <w:b/>
          <w:bCs/>
          <w:sz w:val="32"/>
          <w:szCs w:val="32"/>
          <w:lang w:eastAsia="zh-CN"/>
        </w:rPr>
        <w:t>（一）学历继续教育实践特色与模式创新</w:t>
      </w:r>
    </w:p>
    <w:p>
      <w:pPr>
        <w:spacing w:line="600" w:lineRule="exact"/>
        <w:ind w:firstLine="640" w:firstLineChars="200"/>
        <w:rPr>
          <w:rFonts w:hint="eastAsia" w:ascii="仿宋_GB2312" w:hAnsi="Times New Roman" w:eastAsia="仿宋_GB2312" w:cs="Times New Roman"/>
          <w:kern w:val="0"/>
          <w:sz w:val="32"/>
          <w:szCs w:val="32"/>
        </w:rPr>
      </w:pPr>
      <w:r>
        <w:rPr>
          <w:rFonts w:ascii="Times New Roman" w:hAnsi="Times New Roman" w:eastAsia="仿宋_GB2312" w:cs="Times New Roman"/>
          <w:kern w:val="0"/>
          <w:sz w:val="32"/>
          <w:szCs w:val="32"/>
        </w:rPr>
        <w:t>学校继续教育不断探索改革创新新模式，运用线上与线下、课堂与实践、高校教师与行业专家相结合的混合式培养模式。将解决边学边用、学以致用；使碎片化时间的学习有成效；激发学习兴趣，提高学习成就感。</w:t>
      </w:r>
    </w:p>
    <w:p>
      <w:pPr>
        <w:numPr>
          <w:ilvl w:val="0"/>
          <w:numId w:val="0"/>
        </w:numPr>
        <w:spacing w:line="600" w:lineRule="exact"/>
        <w:ind w:firstLine="643" w:firstLineChars="200"/>
        <w:rPr>
          <w:rFonts w:hint="eastAsia" w:ascii="Times New Roman" w:hAnsi="Times New Roman" w:eastAsia="楷体_GB2312" w:cs="Times New Roman"/>
          <w:b/>
          <w:bCs/>
          <w:sz w:val="32"/>
          <w:szCs w:val="32"/>
          <w:lang w:eastAsia="zh-CN"/>
        </w:rPr>
      </w:pPr>
      <w:r>
        <w:rPr>
          <w:rFonts w:hint="eastAsia" w:ascii="Times New Roman" w:hAnsi="Times New Roman" w:eastAsia="楷体_GB2312" w:cs="Times New Roman"/>
          <w:b/>
          <w:bCs/>
          <w:sz w:val="32"/>
          <w:szCs w:val="32"/>
          <w:lang w:eastAsia="zh-CN"/>
        </w:rPr>
        <w:t>（二）非学历继续教育实践特色与模式创新</w:t>
      </w:r>
    </w:p>
    <w:p>
      <w:pPr>
        <w:numPr>
          <w:ilvl w:val="0"/>
          <w:numId w:val="0"/>
        </w:numPr>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020</w:t>
      </w:r>
      <w:r>
        <w:rPr>
          <w:rFonts w:hint="eastAsia" w:ascii="Times New Roman" w:hAnsi="Times New Roman" w:eastAsia="仿宋_GB2312" w:cs="Times New Roman"/>
          <w:kern w:val="0"/>
          <w:sz w:val="32"/>
          <w:szCs w:val="32"/>
        </w:rPr>
        <w:t>年，与青岛双星集团签订了以企业需求为导向的职业教育培训“双星轮胎专项班”项目。双方发挥各自优势，按照“合作招生、定制培养、定向就业”的原则，面向轮胎一线生产岗位进行制造工匠的联合培养</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项目采取订单式培养方式，招生对象为高中毕业生，学制“2+1”年，双方共同制定培养计划。根据企业需求设置相应专业。学生入学后，在校学习两年，第三年进入企业实习。双方共同编写一系列面向轮胎生产制造领域的专用教材，教材内容以双方合作办学项目为基础，以培养具有实际工作能力的技能型、应用型人才为目标。教材作为“双星轮胎专项班”的专业课程教材。</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kern w:val="0"/>
          <w:sz w:val="32"/>
          <w:szCs w:val="32"/>
        </w:rPr>
        <w:t>通过校企合作打造</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职业技能培训 </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 xml:space="preserve"> 学历提升 + 就业推荐</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的特色职业教育培训项目。以就业为导向、以用人单位需求为目标，培养应用型、技能型人才。</w:t>
      </w:r>
    </w:p>
    <w:p>
      <w:pPr>
        <w:pStyle w:val="3"/>
        <w:numPr>
          <w:ilvl w:val="0"/>
          <w:numId w:val="0"/>
        </w:numPr>
        <w:spacing w:before="0" w:after="0" w:line="600" w:lineRule="exact"/>
        <w:ind w:leftChars="0" w:firstLine="640" w:firstLineChars="200"/>
        <w:rPr>
          <w:rFonts w:ascii="Times New Roman" w:hAnsi="Times New Roman" w:eastAsia="黑体" w:cs="Times New Roman"/>
          <w:b w:val="0"/>
        </w:rPr>
      </w:pPr>
      <w:r>
        <w:rPr>
          <w:rFonts w:hint="eastAsia" w:ascii="Times New Roman" w:hAnsi="Times New Roman" w:eastAsia="黑体" w:cs="Times New Roman"/>
          <w:b w:val="0"/>
          <w:lang w:eastAsia="zh-CN"/>
        </w:rPr>
        <w:t>七、</w:t>
      </w:r>
      <w:r>
        <w:rPr>
          <w:rFonts w:ascii="Times New Roman" w:hAnsi="Times New Roman" w:eastAsia="黑体" w:cs="Times New Roman"/>
          <w:b w:val="0"/>
        </w:rPr>
        <w:t>问题挑战</w:t>
      </w:r>
    </w:p>
    <w:p>
      <w:pPr>
        <w:pStyle w:val="35"/>
        <w:ind w:left="630"/>
        <w:rPr>
          <w:rFonts w:ascii="Times New Roman" w:hAnsi="Times New Roman" w:eastAsia="楷体" w:cs="Times New Roman"/>
        </w:rPr>
      </w:pPr>
      <w:r>
        <w:rPr>
          <w:rFonts w:ascii="Times New Roman" w:hAnsi="Times New Roman" w:eastAsia="楷体_GB2312" w:cs="Times New Roman"/>
          <w:kern w:val="2"/>
        </w:rPr>
        <w:t>（一）</w:t>
      </w:r>
      <w:r>
        <w:rPr>
          <w:rFonts w:ascii="Times New Roman" w:hAnsi="Times New Roman" w:eastAsia="楷体" w:cs="Times New Roman"/>
        </w:rPr>
        <w:t>面对的新挑战、新需求</w:t>
      </w:r>
    </w:p>
    <w:p>
      <w:pPr>
        <w:widowControl/>
        <w:adjustRightInd w:val="0"/>
        <w:snapToGrid w:val="0"/>
        <w:spacing w:line="600" w:lineRule="exact"/>
        <w:ind w:firstLine="640" w:firstLineChars="200"/>
        <w:textAlignment w:val="center"/>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由于受传统观念、体制机制、办学模式、评价标准等方面的影响</w:t>
      </w:r>
      <w:r>
        <w:rPr>
          <w:rFonts w:hint="eastAsia"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高校继续教育存在不少问题、矛盾和挑战</w:t>
      </w:r>
      <w:r>
        <w:rPr>
          <w:rFonts w:hint="eastAsia"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从学校事业发展总体布局来说</w:t>
      </w:r>
      <w:r>
        <w:rPr>
          <w:rFonts w:hint="eastAsia"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存在着全日制学历教育和继续教育、学历继续教育和非学历继续教育发展不协调、不均衡、不同步的问题</w:t>
      </w:r>
      <w:r>
        <w:rPr>
          <w:rFonts w:hint="eastAsia"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部分高校没有把学历教育和继续教育统筹规划、协调发展</w:t>
      </w:r>
      <w:r>
        <w:rPr>
          <w:rFonts w:hint="eastAsia"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忽视继续教育与职业教育</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继续教育与全日制教育缺少有效的沟通衔接</w:t>
      </w:r>
      <w:r>
        <w:rPr>
          <w:rFonts w:hint="eastAsia"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学校各种教育资源不能够互通有无</w:t>
      </w:r>
      <w:r>
        <w:rPr>
          <w:rFonts w:hint="eastAsia"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影响了高校继续教育的办学质量、水平和效率。从高校继续教育发展现状来说</w:t>
      </w:r>
      <w:r>
        <w:rPr>
          <w:rFonts w:hint="eastAsia"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还存在着观念陈旧、定位不准、地位边缘、抓手不足、创新不够、特色不明、质量不高等问题。进入新时代</w:t>
      </w:r>
      <w:r>
        <w:rPr>
          <w:rFonts w:hint="eastAsia"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急需在国家终身教育体系框架下</w:t>
      </w:r>
      <w:r>
        <w:rPr>
          <w:rFonts w:hint="eastAsia"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解决高校全日制学历教育与继续教育发展不协调、不充分、不均衡的问题。</w:t>
      </w:r>
    </w:p>
    <w:p>
      <w:pPr>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随着黑龙江省继续教育工作不断发展壮大，非学历继续教育培训呈现出办学单位多、专业重复率高、办学层次普遍偏低的情况。学校在未来五年发展规划中确定了打造精品培训项目的总体目标，逐步缩减、淘汰一批层次不高、专业陈旧的职业教育培训项目，依托学校</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三海一核</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特色专业学科群，瞄准新行业、新技术，联合相关行业龙头企业，以学校为主导，打造适应高新技术产业技术人才需求的高端技能人才培训项目。</w:t>
      </w:r>
    </w:p>
    <w:p>
      <w:pPr>
        <w:snapToGrid w:val="0"/>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按照学校青岛创新发展基地（青岛校区）和烟台研究生院建设规划，继续教育提前进入青岛、烟台地区开展培训工作。经过两年的摸索和尝试，非学历全日制培训项目取得了较好的效果。办学场地不足是制约异地非学历培训项目发展的主要因素。</w:t>
      </w:r>
    </w:p>
    <w:p>
      <w:pPr>
        <w:pStyle w:val="35"/>
        <w:ind w:firstLine="643" w:firstLineChars="200"/>
        <w:rPr>
          <w:rFonts w:ascii="Times New Roman" w:hAnsi="Times New Roman" w:cs="Times New Roman"/>
        </w:rPr>
      </w:pPr>
      <w:r>
        <w:rPr>
          <w:rFonts w:ascii="Times New Roman" w:hAnsi="Times New Roman" w:eastAsia="楷体_GB2312" w:cs="Times New Roman"/>
          <w:kern w:val="2"/>
        </w:rPr>
        <w:t>（二）</w:t>
      </w:r>
      <w:r>
        <w:rPr>
          <w:rFonts w:ascii="Times New Roman" w:hAnsi="Times New Roman" w:eastAsia="楷体" w:cs="Times New Roman"/>
        </w:rPr>
        <w:t>存在的主要问题及原因</w:t>
      </w:r>
    </w:p>
    <w:p>
      <w:pPr>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1.学校继续教育管理队伍人员不足、层次不高，</w:t>
      </w:r>
      <w:r>
        <w:rPr>
          <w:rFonts w:hint="eastAsia" w:ascii="Times New Roman" w:hAnsi="Times New Roman" w:eastAsia="仿宋_GB2312" w:cs="Times New Roman"/>
          <w:kern w:val="0"/>
          <w:sz w:val="32"/>
          <w:szCs w:val="32"/>
        </w:rPr>
        <w:t>特别是缺少一</w:t>
      </w:r>
      <w:r>
        <w:rPr>
          <w:rFonts w:hint="eastAsia" w:ascii="Times New Roman" w:hAnsi="Times New Roman" w:eastAsia="仿宋_GB2312" w:cs="Times New Roman"/>
          <w:kern w:val="0"/>
          <w:sz w:val="32"/>
          <w:szCs w:val="32"/>
          <w:lang w:eastAsia="zh-CN"/>
        </w:rPr>
        <w:t>支</w:t>
      </w:r>
      <w:r>
        <w:rPr>
          <w:rFonts w:hint="eastAsia" w:ascii="Times New Roman" w:hAnsi="Times New Roman" w:eastAsia="仿宋_GB2312" w:cs="Times New Roman"/>
          <w:kern w:val="0"/>
          <w:sz w:val="32"/>
          <w:szCs w:val="32"/>
        </w:rPr>
        <w:t>具有战斗力的市场开拓队伍</w:t>
      </w:r>
      <w:r>
        <w:rPr>
          <w:rFonts w:ascii="Times New Roman" w:hAnsi="Times New Roman" w:eastAsia="仿宋_GB2312" w:cs="Times New Roman"/>
          <w:kern w:val="0"/>
          <w:sz w:val="32"/>
          <w:szCs w:val="32"/>
        </w:rPr>
        <w:t>。主要原因在于</w:t>
      </w:r>
      <w:r>
        <w:rPr>
          <w:rFonts w:hint="eastAsia" w:ascii="Times New Roman" w:hAnsi="Times New Roman" w:eastAsia="仿宋_GB2312" w:cs="Times New Roman"/>
          <w:kern w:val="0"/>
          <w:sz w:val="32"/>
          <w:szCs w:val="32"/>
        </w:rPr>
        <w:t>学院独立运行时间短，短期培训课程资源和人力资源积累不足</w:t>
      </w:r>
      <w:r>
        <w:rPr>
          <w:rFonts w:ascii="Times New Roman" w:hAnsi="Times New Roman" w:eastAsia="仿宋_GB2312" w:cs="Times New Roman"/>
          <w:kern w:val="0"/>
          <w:sz w:val="32"/>
          <w:szCs w:val="32"/>
        </w:rPr>
        <w:t>。</w:t>
      </w:r>
    </w:p>
    <w:p>
      <w:pPr>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2.课程和教材等教学的核心资源建设不足。继续教育发展历史的断层，导致了课程建设和教材建设的滞后。今后一段时间内，建设一批高质量课程和教材是提高学校继续教育工作水平的重要内容。</w:t>
      </w:r>
    </w:p>
    <w:p>
      <w:pPr>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3.校内可使用资源不足，导致发展空间受限。主要原因是</w:t>
      </w:r>
      <w:r>
        <w:rPr>
          <w:rFonts w:hint="eastAsia" w:ascii="Times New Roman" w:hAnsi="Times New Roman" w:eastAsia="仿宋_GB2312" w:cs="Times New Roman"/>
          <w:kern w:val="0"/>
          <w:sz w:val="32"/>
          <w:szCs w:val="32"/>
          <w:lang w:eastAsia="zh-CN"/>
        </w:rPr>
        <w:t>疫情影响下</w:t>
      </w:r>
      <w:r>
        <w:rPr>
          <w:rFonts w:ascii="Times New Roman" w:hAnsi="Times New Roman" w:eastAsia="仿宋_GB2312" w:cs="Times New Roman"/>
          <w:kern w:val="0"/>
          <w:sz w:val="32"/>
          <w:szCs w:val="32"/>
        </w:rPr>
        <w:t>学校整体发展资源不充足。</w:t>
      </w:r>
    </w:p>
    <w:p>
      <w:pPr>
        <w:pStyle w:val="3"/>
        <w:pageBreakBefore w:val="0"/>
        <w:numPr>
          <w:ilvl w:val="0"/>
          <w:numId w:val="0"/>
        </w:numPr>
        <w:kinsoku/>
        <w:wordWrap/>
        <w:overflowPunct/>
        <w:topLinePunct w:val="0"/>
        <w:autoSpaceDE/>
        <w:autoSpaceDN/>
        <w:bidi w:val="0"/>
        <w:spacing w:before="0" w:after="0" w:line="600" w:lineRule="exact"/>
        <w:ind w:leftChars="0" w:firstLine="640" w:firstLineChars="200"/>
        <w:rPr>
          <w:rFonts w:ascii="Times New Roman" w:hAnsi="Times New Roman" w:eastAsia="黑体" w:cs="Times New Roman"/>
          <w:b w:val="0"/>
        </w:rPr>
      </w:pPr>
      <w:r>
        <w:rPr>
          <w:rFonts w:hint="eastAsia" w:ascii="Times New Roman" w:hAnsi="Times New Roman" w:eastAsia="黑体" w:cs="Times New Roman"/>
          <w:b w:val="0"/>
          <w:lang w:eastAsia="zh-CN"/>
        </w:rPr>
        <w:t>八、</w:t>
      </w:r>
      <w:r>
        <w:rPr>
          <w:rFonts w:ascii="Times New Roman" w:hAnsi="Times New Roman" w:eastAsia="黑体" w:cs="Times New Roman"/>
          <w:b w:val="0"/>
        </w:rPr>
        <w:t>对策建议</w:t>
      </w:r>
    </w:p>
    <w:p>
      <w:pPr>
        <w:pStyle w:val="35"/>
        <w:pageBreakBefore w:val="0"/>
        <w:kinsoku/>
        <w:wordWrap/>
        <w:overflowPunct/>
        <w:topLinePunct w:val="0"/>
        <w:autoSpaceDE/>
        <w:autoSpaceDN/>
        <w:bidi w:val="0"/>
        <w:spacing w:line="600" w:lineRule="exact"/>
        <w:ind w:firstLine="643" w:firstLineChars="200"/>
        <w:rPr>
          <w:rFonts w:ascii="Times New Roman" w:hAnsi="Times New Roman" w:eastAsia="楷体" w:cs="Times New Roman"/>
        </w:rPr>
      </w:pPr>
      <w:r>
        <w:rPr>
          <w:rFonts w:ascii="Times New Roman" w:hAnsi="Times New Roman" w:eastAsia="楷体_GB2312" w:cs="Times New Roman"/>
          <w:kern w:val="2"/>
        </w:rPr>
        <w:t>（一）</w:t>
      </w:r>
      <w:r>
        <w:rPr>
          <w:rFonts w:ascii="Times New Roman" w:hAnsi="Times New Roman" w:eastAsia="楷体" w:cs="Times New Roman"/>
        </w:rPr>
        <w:t>发展对策</w:t>
      </w:r>
    </w:p>
    <w:p>
      <w:pPr>
        <w:pageBreakBefore w:val="0"/>
        <w:widowControl/>
        <w:kinsoku/>
        <w:wordWrap/>
        <w:overflowPunct/>
        <w:topLinePunct w:val="0"/>
        <w:autoSpaceDE/>
        <w:autoSpaceDN/>
        <w:bidi w:val="0"/>
        <w:adjustRightInd w:val="0"/>
        <w:snapToGrid w:val="0"/>
        <w:spacing w:line="600" w:lineRule="exact"/>
        <w:ind w:firstLine="640" w:firstLineChars="200"/>
        <w:textAlignment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学校根据国家全面贯彻落实党的十九大</w:t>
      </w:r>
      <w:r>
        <w:rPr>
          <w:rFonts w:hint="eastAsia" w:ascii="Times New Roman" w:hAnsi="Times New Roman" w:eastAsia="仿宋_GB2312" w:cs="Times New Roman"/>
          <w:kern w:val="0"/>
          <w:sz w:val="32"/>
          <w:szCs w:val="32"/>
        </w:rPr>
        <w:t>、全国教育大会及</w:t>
      </w:r>
      <w:r>
        <w:rPr>
          <w:rFonts w:ascii="Times New Roman" w:hAnsi="Times New Roman" w:eastAsia="仿宋_GB2312" w:cs="Times New Roman"/>
          <w:kern w:val="0"/>
          <w:sz w:val="32"/>
          <w:szCs w:val="32"/>
        </w:rPr>
        <w:t>《国家中长期教育改革和发展规划纲要2010-2020》等文件精神，探索开展互联网+ 继续教育的教学管理平台建设，针对学校继续教育信息化起步较晚、经验不足的问题，下一步将投入经费进行信息管理平台建设，为学生提供便捷、高效的服务。需要创新传统的招生宣传形式，加强新技术在招生宣传中的应用，通过微信、公众号等方式扩大宣传对象。</w:t>
      </w:r>
    </w:p>
    <w:p>
      <w:pPr>
        <w:pageBreakBefore w:val="0"/>
        <w:widowControl/>
        <w:kinsoku/>
        <w:wordWrap/>
        <w:overflowPunct/>
        <w:topLinePunct w:val="0"/>
        <w:autoSpaceDE/>
        <w:autoSpaceDN/>
        <w:bidi w:val="0"/>
        <w:adjustRightInd w:val="0"/>
        <w:snapToGrid w:val="0"/>
        <w:spacing w:line="600" w:lineRule="exact"/>
        <w:ind w:firstLine="640" w:firstLineChars="200"/>
        <w:textAlignment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1.提高认识。十九大报告提出， </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办好继续教育，加快建设学习型社会</w:t>
      </w:r>
      <w:r>
        <w:rPr>
          <w:rFonts w:ascii="Times New Roman" w:hAnsi="Times New Roman" w:eastAsia="微软雅黑" w:cs="Times New Roman"/>
          <w:sz w:val="32"/>
          <w:szCs w:val="32"/>
          <w:shd w:val="clear" w:color="auto" w:fill="FFFFFF"/>
        </w:rPr>
        <w:t>，</w:t>
      </w:r>
      <w:r>
        <w:rPr>
          <w:rFonts w:ascii="Times New Roman" w:hAnsi="Times New Roman" w:eastAsia="仿宋_GB2312" w:cs="Times New Roman"/>
          <w:kern w:val="0"/>
          <w:sz w:val="32"/>
          <w:szCs w:val="32"/>
        </w:rPr>
        <w:t>大力提高国民素质。</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完善职业教育和培训体系，深化产教融合、校企合作</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突出彰显了继续教育在建设学习型社会进程中的重要地位，也为中国教育事业发展指明了前进的方向。继续教育在构建终身教育、学习型社会中发挥着重要的作用，具有强大的社会价值与服务功能。对学校继续教育的认识不能仅以学校创收和简单的社会服务功能为目的，要真正把继续教育纳入学校人才培养体系，并进一步加强管理，促使其健康发展。</w:t>
      </w:r>
    </w:p>
    <w:p>
      <w:pPr>
        <w:pageBreakBefore w:val="0"/>
        <w:widowControl/>
        <w:kinsoku/>
        <w:wordWrap/>
        <w:overflowPunct/>
        <w:topLinePunct w:val="0"/>
        <w:autoSpaceDE/>
        <w:autoSpaceDN/>
        <w:bidi w:val="0"/>
        <w:adjustRightInd w:val="0"/>
        <w:snapToGrid w:val="0"/>
        <w:spacing w:line="600" w:lineRule="exact"/>
        <w:ind w:firstLine="640" w:firstLineChars="200"/>
        <w:textAlignment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2.推动改革。全力打造信息化教学平台建设，通过线上、线下混合式教学模式改革，有效解决学生</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工学矛盾</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，为学生提供更为优质的教学服务，确保教学质量不断提高。</w:t>
      </w:r>
    </w:p>
    <w:p>
      <w:pPr>
        <w:pageBreakBefore w:val="0"/>
        <w:widowControl/>
        <w:kinsoku/>
        <w:wordWrap/>
        <w:overflowPunct/>
        <w:topLinePunct w:val="0"/>
        <w:autoSpaceDE/>
        <w:autoSpaceDN/>
        <w:bidi w:val="0"/>
        <w:adjustRightInd w:val="0"/>
        <w:snapToGrid w:val="0"/>
        <w:spacing w:line="600" w:lineRule="exact"/>
        <w:ind w:firstLine="640" w:firstLineChars="200"/>
        <w:jc w:val="left"/>
        <w:textAlignment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3.丰富资源。紧密跟踪国家发展需要和行业发展需求，适时调整专业设置，开办新专业，形成专兼职相结合的师资队伍，完成继续教育系列教材和资源的建设工作。</w:t>
      </w:r>
    </w:p>
    <w:p>
      <w:pPr>
        <w:pageBreakBefore w:val="0"/>
        <w:widowControl/>
        <w:kinsoku/>
        <w:wordWrap/>
        <w:overflowPunct/>
        <w:topLinePunct w:val="0"/>
        <w:autoSpaceDE/>
        <w:autoSpaceDN/>
        <w:bidi w:val="0"/>
        <w:adjustRightInd w:val="0"/>
        <w:snapToGrid w:val="0"/>
        <w:spacing w:line="600" w:lineRule="exact"/>
        <w:ind w:firstLine="640" w:firstLineChars="200"/>
        <w:jc w:val="left"/>
        <w:textAlignment w:val="center"/>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2"/>
          <w:szCs w:val="32"/>
          <w:lang w:val="en-US" w:eastAsia="zh-CN"/>
        </w:rPr>
        <w:t>4.</w:t>
      </w:r>
      <w:r>
        <w:rPr>
          <w:rFonts w:ascii="Times New Roman" w:hAnsi="Times New Roman" w:eastAsia="仿宋_GB2312" w:cs="Times New Roman"/>
          <w:kern w:val="0"/>
          <w:sz w:val="32"/>
          <w:szCs w:val="32"/>
        </w:rPr>
        <w:t>扩大规模。按照稳定发展高等学</w:t>
      </w:r>
      <w:r>
        <w:rPr>
          <w:rFonts w:hint="eastAsia" w:ascii="Times New Roman" w:hAnsi="Times New Roman" w:eastAsia="仿宋_GB2312" w:cs="Times New Roman"/>
          <w:kern w:val="0"/>
          <w:sz w:val="32"/>
          <w:szCs w:val="32"/>
        </w:rPr>
        <w:t>历继续</w:t>
      </w:r>
      <w:r>
        <w:rPr>
          <w:rFonts w:ascii="Times New Roman" w:hAnsi="Times New Roman" w:eastAsia="仿宋_GB2312" w:cs="Times New Roman"/>
          <w:kern w:val="0"/>
          <w:sz w:val="32"/>
          <w:szCs w:val="32"/>
        </w:rPr>
        <w:t>教育，大力发展非学历教育的方针，不断探索校校、校地、校企联合办学新模式，努力扩大各类办学规模，加大对社会发展的贡献度</w:t>
      </w:r>
      <w:r>
        <w:rPr>
          <w:rFonts w:hint="eastAsia"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0"/>
          <w:szCs w:val="30"/>
        </w:rPr>
        <w:t xml:space="preserve">                       </w:t>
      </w:r>
    </w:p>
    <w:p>
      <w:pPr>
        <w:pStyle w:val="35"/>
        <w:pageBreakBefore w:val="0"/>
        <w:kinsoku/>
        <w:wordWrap/>
        <w:overflowPunct/>
        <w:topLinePunct w:val="0"/>
        <w:autoSpaceDE/>
        <w:autoSpaceDN/>
        <w:bidi w:val="0"/>
        <w:spacing w:line="600" w:lineRule="exact"/>
        <w:ind w:firstLine="643" w:firstLineChars="200"/>
        <w:rPr>
          <w:rFonts w:ascii="Times New Roman" w:hAnsi="Times New Roman" w:cs="Times New Roman"/>
        </w:rPr>
      </w:pPr>
      <w:r>
        <w:rPr>
          <w:rFonts w:ascii="Times New Roman" w:hAnsi="Times New Roman" w:eastAsia="楷体_GB2312" w:cs="Times New Roman"/>
          <w:kern w:val="2"/>
        </w:rPr>
        <w:t>（二）</w:t>
      </w:r>
      <w:r>
        <w:rPr>
          <w:rFonts w:ascii="Times New Roman" w:hAnsi="Times New Roman" w:eastAsia="楷体" w:cs="Times New Roman"/>
        </w:rPr>
        <w:t>政策建议</w:t>
      </w:r>
    </w:p>
    <w:p>
      <w:pPr>
        <w:pageBreakBefore w:val="0"/>
        <w:widowControl/>
        <w:kinsoku/>
        <w:wordWrap/>
        <w:overflowPunct/>
        <w:topLinePunct w:val="0"/>
        <w:autoSpaceDE/>
        <w:autoSpaceDN/>
        <w:bidi w:val="0"/>
        <w:adjustRightInd w:val="0"/>
        <w:snapToGrid w:val="0"/>
        <w:spacing w:line="600" w:lineRule="exact"/>
        <w:ind w:firstLine="640" w:firstLineChars="200"/>
        <w:textAlignment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仿宋_GB2312"/>
          <w:kern w:val="0"/>
          <w:sz w:val="32"/>
          <w:szCs w:val="32"/>
        </w:rPr>
        <w:t>建议高度重视和积极促进高等学历继续教育与职业教育的融合，可以成功地走出协同创新、互利共赢的新路。职业教育与高等学历继续教育之间的共同点最多、契合度最高。其双方的深度嫁接、互相借力，就落实十九大报告关于</w:t>
      </w:r>
      <w:r>
        <w:rPr>
          <w:rFonts w:hint="eastAsia"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完善职业教育和培训体系，深化产教融合、校企合作</w:t>
      </w:r>
      <w:r>
        <w:rPr>
          <w:rFonts w:hint="eastAsia"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决定精神，可望达到</w:t>
      </w:r>
      <w:r>
        <w:rPr>
          <w:rFonts w:hint="eastAsia"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双赢</w:t>
      </w:r>
      <w:r>
        <w:rPr>
          <w:rFonts w:hint="eastAsia"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的完美结果。</w:t>
      </w:r>
    </w:p>
    <w:p>
      <w:pPr>
        <w:pageBreakBefore w:val="0"/>
        <w:widowControl/>
        <w:kinsoku/>
        <w:wordWrap/>
        <w:overflowPunct/>
        <w:topLinePunct w:val="0"/>
        <w:autoSpaceDE/>
        <w:autoSpaceDN/>
        <w:bidi w:val="0"/>
        <w:adjustRightInd w:val="0"/>
        <w:snapToGrid w:val="0"/>
        <w:spacing w:line="600" w:lineRule="exact"/>
        <w:ind w:firstLine="640" w:firstLineChars="200"/>
        <w:textAlignment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仿宋_GB2312"/>
          <w:kern w:val="0"/>
          <w:sz w:val="32"/>
          <w:szCs w:val="32"/>
        </w:rPr>
        <w:t>建议不失时机加快建立国家学分认证制度，这是</w:t>
      </w:r>
      <w:r>
        <w:rPr>
          <w:rFonts w:hint="eastAsia"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办好继续教育，加快建设学习型社会，大力提高国民素质</w:t>
      </w:r>
      <w:r>
        <w:rPr>
          <w:rFonts w:hint="eastAsia"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的核心制度保障。党的十八届三中、五中全会曾经明确提出，建设学分认证、累积和转换即学分银行制度。这符合国际经验和普遍做法，是全面牵动教育领域综合改革向纵深发展、从源头上确保和提升继续教育的质量。</w:t>
      </w:r>
    </w:p>
    <w:p>
      <w:pPr>
        <w:pageBreakBefore w:val="0"/>
        <w:widowControl/>
        <w:kinsoku/>
        <w:wordWrap/>
        <w:overflowPunct/>
        <w:topLinePunct w:val="0"/>
        <w:autoSpaceDE/>
        <w:autoSpaceDN/>
        <w:bidi w:val="0"/>
        <w:adjustRightInd w:val="0"/>
        <w:snapToGrid w:val="0"/>
        <w:spacing w:line="600" w:lineRule="exact"/>
        <w:ind w:firstLine="640" w:firstLineChars="200"/>
        <w:textAlignment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仿宋_GB2312"/>
          <w:kern w:val="0"/>
          <w:sz w:val="32"/>
          <w:szCs w:val="32"/>
        </w:rPr>
        <w:t>建议最大限度的放宽对继续教育办学的各类限制，包括地域限制、专业限制、办学层次限制等，明确高校作为高等学历继续教育办学主体地位，建立继续教育办学质量监督管理保障体系，实现高等学历继续教育的开放办学、自主办学、优质办学。</w:t>
      </w:r>
    </w:p>
    <w:p>
      <w:pPr>
        <w:pageBreakBefore w:val="0"/>
        <w:widowControl/>
        <w:kinsoku/>
        <w:wordWrap/>
        <w:overflowPunct/>
        <w:topLinePunct w:val="0"/>
        <w:autoSpaceDE/>
        <w:autoSpaceDN/>
        <w:bidi w:val="0"/>
        <w:adjustRightInd w:val="0"/>
        <w:snapToGrid w:val="0"/>
        <w:spacing w:line="600" w:lineRule="exact"/>
        <w:ind w:firstLine="640" w:firstLineChars="200"/>
        <w:textAlignment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仿宋_GB2312"/>
          <w:kern w:val="0"/>
          <w:sz w:val="32"/>
          <w:szCs w:val="32"/>
        </w:rPr>
        <w:t>建议放宽继续教育人力资源管理，允许采取购买服务、劳务派遣等方式扩充管理人员队伍，强化培训全过程各环节掌控力度，切实保障继续教育办学质量。</w:t>
      </w:r>
    </w:p>
    <w:p>
      <w:pPr>
        <w:pageBreakBefore w:val="0"/>
        <w:kinsoku/>
        <w:wordWrap/>
        <w:overflowPunct/>
        <w:topLinePunct w:val="0"/>
        <w:autoSpaceDE/>
        <w:autoSpaceDN/>
        <w:bidi w:val="0"/>
        <w:spacing w:line="600" w:lineRule="exact"/>
        <w:rPr>
          <w:rFonts w:ascii="Times New Roman" w:hAnsi="Times New Roman" w:eastAsia="仿宋_GB2312" w:cs="Times New Roman"/>
          <w:kern w:val="0"/>
          <w:sz w:val="32"/>
          <w:szCs w:val="32"/>
        </w:rPr>
      </w:pPr>
    </w:p>
    <w:sectPr>
      <w:footerReference r:id="rId4" w:type="first"/>
      <w:footerReference r:id="rId3" w:type="default"/>
      <w:pgSz w:w="11900" w:h="16840"/>
      <w:pgMar w:top="1418" w:right="1304" w:bottom="1418" w:left="1588" w:header="851" w:footer="992" w:gutter="0"/>
      <w:pgNumType w:start="0"/>
      <w:cols w:space="720" w:num="1"/>
      <w:titlePg/>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Heiti SC Light">
    <w:altName w:val="微软雅黑"/>
    <w:panose1 w:val="00000000000000000000"/>
    <w:charset w:val="50"/>
    <w:family w:val="auto"/>
    <w:pitch w:val="default"/>
    <w:sig w:usb0="00000000" w:usb1="00000000" w:usb2="00000010" w:usb3="00000000" w:csb0="003E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2517543"/>
    </w:sdtPr>
    <w:sdtContent>
      <w:p>
        <w:pPr>
          <w:pStyle w:val="9"/>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B53D1C"/>
    <w:multiLevelType w:val="singleLevel"/>
    <w:tmpl w:val="F5B53D1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20"/>
  <w:drawingGridVerticalSpacing w:val="423"/>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I2M2FhYjM3MmM0N2Y0ZjEyOWVjYjhlZWVlNjgxYTUifQ=="/>
  </w:docVars>
  <w:rsids>
    <w:rsidRoot w:val="00903850"/>
    <w:rsid w:val="00000DB8"/>
    <w:rsid w:val="00001A39"/>
    <w:rsid w:val="00005897"/>
    <w:rsid w:val="00005C2A"/>
    <w:rsid w:val="000068DE"/>
    <w:rsid w:val="00006D30"/>
    <w:rsid w:val="000108F4"/>
    <w:rsid w:val="00012288"/>
    <w:rsid w:val="00013B73"/>
    <w:rsid w:val="0001722D"/>
    <w:rsid w:val="000220BF"/>
    <w:rsid w:val="00022A62"/>
    <w:rsid w:val="00023352"/>
    <w:rsid w:val="00023D9E"/>
    <w:rsid w:val="00027688"/>
    <w:rsid w:val="0003091F"/>
    <w:rsid w:val="00037049"/>
    <w:rsid w:val="00041478"/>
    <w:rsid w:val="000503F2"/>
    <w:rsid w:val="00052EB8"/>
    <w:rsid w:val="0005504F"/>
    <w:rsid w:val="00055406"/>
    <w:rsid w:val="00057E91"/>
    <w:rsid w:val="00065B63"/>
    <w:rsid w:val="0006779C"/>
    <w:rsid w:val="00071D1F"/>
    <w:rsid w:val="00075F34"/>
    <w:rsid w:val="000764FC"/>
    <w:rsid w:val="00076E6B"/>
    <w:rsid w:val="000775F9"/>
    <w:rsid w:val="00080B5E"/>
    <w:rsid w:val="00082BF5"/>
    <w:rsid w:val="000830F3"/>
    <w:rsid w:val="00084D9D"/>
    <w:rsid w:val="00084FBB"/>
    <w:rsid w:val="00090005"/>
    <w:rsid w:val="0009019A"/>
    <w:rsid w:val="000A507C"/>
    <w:rsid w:val="000A5A63"/>
    <w:rsid w:val="000B4D3C"/>
    <w:rsid w:val="000B5350"/>
    <w:rsid w:val="000C079D"/>
    <w:rsid w:val="000C086B"/>
    <w:rsid w:val="000C219F"/>
    <w:rsid w:val="000C5B4C"/>
    <w:rsid w:val="000E14BA"/>
    <w:rsid w:val="000E528E"/>
    <w:rsid w:val="000F0095"/>
    <w:rsid w:val="000F3610"/>
    <w:rsid w:val="001003B3"/>
    <w:rsid w:val="0010049F"/>
    <w:rsid w:val="00100A94"/>
    <w:rsid w:val="00100B35"/>
    <w:rsid w:val="0010395B"/>
    <w:rsid w:val="00105C0A"/>
    <w:rsid w:val="00107210"/>
    <w:rsid w:val="001074F1"/>
    <w:rsid w:val="00107D01"/>
    <w:rsid w:val="001108C8"/>
    <w:rsid w:val="00110DF6"/>
    <w:rsid w:val="001111D0"/>
    <w:rsid w:val="0011249D"/>
    <w:rsid w:val="0011535A"/>
    <w:rsid w:val="00115F04"/>
    <w:rsid w:val="001317C1"/>
    <w:rsid w:val="001334D0"/>
    <w:rsid w:val="001349F3"/>
    <w:rsid w:val="001352F2"/>
    <w:rsid w:val="001356A5"/>
    <w:rsid w:val="00135907"/>
    <w:rsid w:val="00135967"/>
    <w:rsid w:val="00137837"/>
    <w:rsid w:val="001430FE"/>
    <w:rsid w:val="00143F5A"/>
    <w:rsid w:val="00144920"/>
    <w:rsid w:val="00144BCF"/>
    <w:rsid w:val="00146619"/>
    <w:rsid w:val="00150BD2"/>
    <w:rsid w:val="001522A0"/>
    <w:rsid w:val="001529E0"/>
    <w:rsid w:val="001533D2"/>
    <w:rsid w:val="001557BE"/>
    <w:rsid w:val="00156868"/>
    <w:rsid w:val="00161BB0"/>
    <w:rsid w:val="001627F7"/>
    <w:rsid w:val="0016419C"/>
    <w:rsid w:val="001667E8"/>
    <w:rsid w:val="00166DBD"/>
    <w:rsid w:val="0017192B"/>
    <w:rsid w:val="00175597"/>
    <w:rsid w:val="00175BDA"/>
    <w:rsid w:val="001769B7"/>
    <w:rsid w:val="00182256"/>
    <w:rsid w:val="00182401"/>
    <w:rsid w:val="00183F86"/>
    <w:rsid w:val="00184055"/>
    <w:rsid w:val="001840F9"/>
    <w:rsid w:val="0018668A"/>
    <w:rsid w:val="0018750D"/>
    <w:rsid w:val="00192EC7"/>
    <w:rsid w:val="0019342F"/>
    <w:rsid w:val="0019464C"/>
    <w:rsid w:val="00196942"/>
    <w:rsid w:val="00197882"/>
    <w:rsid w:val="001A1181"/>
    <w:rsid w:val="001A28E1"/>
    <w:rsid w:val="001A3196"/>
    <w:rsid w:val="001A4251"/>
    <w:rsid w:val="001A7BE0"/>
    <w:rsid w:val="001B22E5"/>
    <w:rsid w:val="001B5A5B"/>
    <w:rsid w:val="001C0D7C"/>
    <w:rsid w:val="001C637A"/>
    <w:rsid w:val="001C763C"/>
    <w:rsid w:val="001D4A3A"/>
    <w:rsid w:val="001D52B3"/>
    <w:rsid w:val="001D681C"/>
    <w:rsid w:val="001D69E8"/>
    <w:rsid w:val="001E1099"/>
    <w:rsid w:val="001E1798"/>
    <w:rsid w:val="001E34A6"/>
    <w:rsid w:val="001E4F79"/>
    <w:rsid w:val="001E62BC"/>
    <w:rsid w:val="001E62CD"/>
    <w:rsid w:val="001F12C1"/>
    <w:rsid w:val="001F1464"/>
    <w:rsid w:val="001F229E"/>
    <w:rsid w:val="001F4066"/>
    <w:rsid w:val="001F6A6B"/>
    <w:rsid w:val="00200E57"/>
    <w:rsid w:val="00207EC1"/>
    <w:rsid w:val="0021108C"/>
    <w:rsid w:val="00211965"/>
    <w:rsid w:val="00212395"/>
    <w:rsid w:val="0021557C"/>
    <w:rsid w:val="00216073"/>
    <w:rsid w:val="0021691D"/>
    <w:rsid w:val="002177B9"/>
    <w:rsid w:val="00220586"/>
    <w:rsid w:val="00220AF5"/>
    <w:rsid w:val="00221647"/>
    <w:rsid w:val="002247A9"/>
    <w:rsid w:val="00227983"/>
    <w:rsid w:val="002335C8"/>
    <w:rsid w:val="00236777"/>
    <w:rsid w:val="00237B27"/>
    <w:rsid w:val="00244246"/>
    <w:rsid w:val="00244339"/>
    <w:rsid w:val="00246C3B"/>
    <w:rsid w:val="00247C02"/>
    <w:rsid w:val="0025097E"/>
    <w:rsid w:val="0025193C"/>
    <w:rsid w:val="0025325E"/>
    <w:rsid w:val="00257ED0"/>
    <w:rsid w:val="002633DE"/>
    <w:rsid w:val="0026430A"/>
    <w:rsid w:val="002677D7"/>
    <w:rsid w:val="00270831"/>
    <w:rsid w:val="00271072"/>
    <w:rsid w:val="00273BDF"/>
    <w:rsid w:val="00277A3D"/>
    <w:rsid w:val="002805C1"/>
    <w:rsid w:val="00280CAC"/>
    <w:rsid w:val="00290EA4"/>
    <w:rsid w:val="002966A0"/>
    <w:rsid w:val="00296DEE"/>
    <w:rsid w:val="002A12A7"/>
    <w:rsid w:val="002A3C8D"/>
    <w:rsid w:val="002B19F9"/>
    <w:rsid w:val="002B1EDE"/>
    <w:rsid w:val="002B568E"/>
    <w:rsid w:val="002B5ADA"/>
    <w:rsid w:val="002C09E9"/>
    <w:rsid w:val="002C7BDC"/>
    <w:rsid w:val="002D3BF8"/>
    <w:rsid w:val="002D5762"/>
    <w:rsid w:val="002D687C"/>
    <w:rsid w:val="002E6552"/>
    <w:rsid w:val="002E7482"/>
    <w:rsid w:val="002E78BB"/>
    <w:rsid w:val="002F0CE4"/>
    <w:rsid w:val="002F510E"/>
    <w:rsid w:val="00306733"/>
    <w:rsid w:val="00313455"/>
    <w:rsid w:val="003179C7"/>
    <w:rsid w:val="003214DA"/>
    <w:rsid w:val="00332842"/>
    <w:rsid w:val="00332DCD"/>
    <w:rsid w:val="00333EC9"/>
    <w:rsid w:val="00335598"/>
    <w:rsid w:val="003423CD"/>
    <w:rsid w:val="00343E6E"/>
    <w:rsid w:val="00346502"/>
    <w:rsid w:val="00357322"/>
    <w:rsid w:val="00365158"/>
    <w:rsid w:val="00370B45"/>
    <w:rsid w:val="00376ADD"/>
    <w:rsid w:val="003774E0"/>
    <w:rsid w:val="003777BC"/>
    <w:rsid w:val="00380F08"/>
    <w:rsid w:val="00385690"/>
    <w:rsid w:val="00391A4F"/>
    <w:rsid w:val="003943DB"/>
    <w:rsid w:val="003A139D"/>
    <w:rsid w:val="003A38C8"/>
    <w:rsid w:val="003A4C97"/>
    <w:rsid w:val="003A7C5F"/>
    <w:rsid w:val="003B0545"/>
    <w:rsid w:val="003B20A6"/>
    <w:rsid w:val="003B300B"/>
    <w:rsid w:val="003B345B"/>
    <w:rsid w:val="003B66A6"/>
    <w:rsid w:val="003B7C55"/>
    <w:rsid w:val="003C14A2"/>
    <w:rsid w:val="003C173D"/>
    <w:rsid w:val="003C4E4C"/>
    <w:rsid w:val="003C5277"/>
    <w:rsid w:val="003C611C"/>
    <w:rsid w:val="003C77CB"/>
    <w:rsid w:val="003D121E"/>
    <w:rsid w:val="003D1512"/>
    <w:rsid w:val="003D2299"/>
    <w:rsid w:val="003D39EB"/>
    <w:rsid w:val="003D5F2B"/>
    <w:rsid w:val="003D6302"/>
    <w:rsid w:val="003D75D6"/>
    <w:rsid w:val="003E3AD0"/>
    <w:rsid w:val="003E711E"/>
    <w:rsid w:val="003F2CCA"/>
    <w:rsid w:val="003F6A7B"/>
    <w:rsid w:val="00402B65"/>
    <w:rsid w:val="00402E2B"/>
    <w:rsid w:val="004030F5"/>
    <w:rsid w:val="00403F01"/>
    <w:rsid w:val="00405D03"/>
    <w:rsid w:val="0040633A"/>
    <w:rsid w:val="004077D5"/>
    <w:rsid w:val="004101DC"/>
    <w:rsid w:val="004128B2"/>
    <w:rsid w:val="0041321F"/>
    <w:rsid w:val="004152A0"/>
    <w:rsid w:val="004211AF"/>
    <w:rsid w:val="00426EF7"/>
    <w:rsid w:val="004273E5"/>
    <w:rsid w:val="0042766B"/>
    <w:rsid w:val="00432CEB"/>
    <w:rsid w:val="00433988"/>
    <w:rsid w:val="00434C8A"/>
    <w:rsid w:val="00435A49"/>
    <w:rsid w:val="004372A3"/>
    <w:rsid w:val="004373D5"/>
    <w:rsid w:val="0044198F"/>
    <w:rsid w:val="00445848"/>
    <w:rsid w:val="00446850"/>
    <w:rsid w:val="00452445"/>
    <w:rsid w:val="0045501E"/>
    <w:rsid w:val="00455330"/>
    <w:rsid w:val="00455E48"/>
    <w:rsid w:val="00460964"/>
    <w:rsid w:val="00461A30"/>
    <w:rsid w:val="00467415"/>
    <w:rsid w:val="0047178E"/>
    <w:rsid w:val="0047194B"/>
    <w:rsid w:val="004729E6"/>
    <w:rsid w:val="004751B2"/>
    <w:rsid w:val="004759EC"/>
    <w:rsid w:val="00480A6F"/>
    <w:rsid w:val="00482B35"/>
    <w:rsid w:val="00485DE7"/>
    <w:rsid w:val="00487E84"/>
    <w:rsid w:val="004900EF"/>
    <w:rsid w:val="00491E88"/>
    <w:rsid w:val="00492CA7"/>
    <w:rsid w:val="00497EE0"/>
    <w:rsid w:val="004A0440"/>
    <w:rsid w:val="004A2107"/>
    <w:rsid w:val="004A24C5"/>
    <w:rsid w:val="004A3D9A"/>
    <w:rsid w:val="004A7399"/>
    <w:rsid w:val="004B1632"/>
    <w:rsid w:val="004B4296"/>
    <w:rsid w:val="004B4674"/>
    <w:rsid w:val="004B4C00"/>
    <w:rsid w:val="004B534C"/>
    <w:rsid w:val="004B5F63"/>
    <w:rsid w:val="004B675B"/>
    <w:rsid w:val="004C0AA1"/>
    <w:rsid w:val="004C385D"/>
    <w:rsid w:val="004C4A42"/>
    <w:rsid w:val="004C56C7"/>
    <w:rsid w:val="004C6DC5"/>
    <w:rsid w:val="004D074F"/>
    <w:rsid w:val="004D3C7E"/>
    <w:rsid w:val="004D67E2"/>
    <w:rsid w:val="004E1662"/>
    <w:rsid w:val="004E32D8"/>
    <w:rsid w:val="004E5397"/>
    <w:rsid w:val="004F2B36"/>
    <w:rsid w:val="004F2C99"/>
    <w:rsid w:val="004F44FC"/>
    <w:rsid w:val="004F71D3"/>
    <w:rsid w:val="004F77C0"/>
    <w:rsid w:val="0050206A"/>
    <w:rsid w:val="005020DA"/>
    <w:rsid w:val="00502400"/>
    <w:rsid w:val="00504615"/>
    <w:rsid w:val="00505BDB"/>
    <w:rsid w:val="005109BD"/>
    <w:rsid w:val="0051309D"/>
    <w:rsid w:val="0051447E"/>
    <w:rsid w:val="00514E22"/>
    <w:rsid w:val="00515853"/>
    <w:rsid w:val="00517191"/>
    <w:rsid w:val="00517C43"/>
    <w:rsid w:val="0053033A"/>
    <w:rsid w:val="005359B4"/>
    <w:rsid w:val="00540C77"/>
    <w:rsid w:val="005423F4"/>
    <w:rsid w:val="005425CA"/>
    <w:rsid w:val="005446FD"/>
    <w:rsid w:val="005447D0"/>
    <w:rsid w:val="005518A6"/>
    <w:rsid w:val="005529A8"/>
    <w:rsid w:val="005545E1"/>
    <w:rsid w:val="00554E43"/>
    <w:rsid w:val="00560D12"/>
    <w:rsid w:val="005622F9"/>
    <w:rsid w:val="005637BC"/>
    <w:rsid w:val="00565E6B"/>
    <w:rsid w:val="005848A4"/>
    <w:rsid w:val="005849D1"/>
    <w:rsid w:val="0058527D"/>
    <w:rsid w:val="00587B47"/>
    <w:rsid w:val="005912D1"/>
    <w:rsid w:val="00592ADD"/>
    <w:rsid w:val="00597219"/>
    <w:rsid w:val="005A0C3C"/>
    <w:rsid w:val="005A1ED8"/>
    <w:rsid w:val="005A3A96"/>
    <w:rsid w:val="005A4C54"/>
    <w:rsid w:val="005A5C0B"/>
    <w:rsid w:val="005A7B34"/>
    <w:rsid w:val="005B0048"/>
    <w:rsid w:val="005B3BD2"/>
    <w:rsid w:val="005B4451"/>
    <w:rsid w:val="005B445A"/>
    <w:rsid w:val="005B4623"/>
    <w:rsid w:val="005B5304"/>
    <w:rsid w:val="005B760B"/>
    <w:rsid w:val="005C0637"/>
    <w:rsid w:val="005C2B34"/>
    <w:rsid w:val="005C2F38"/>
    <w:rsid w:val="005D0578"/>
    <w:rsid w:val="005D183B"/>
    <w:rsid w:val="005D5597"/>
    <w:rsid w:val="005E2D08"/>
    <w:rsid w:val="005E5C37"/>
    <w:rsid w:val="005F2347"/>
    <w:rsid w:val="005F60DF"/>
    <w:rsid w:val="00604A9B"/>
    <w:rsid w:val="006055DC"/>
    <w:rsid w:val="00606FA3"/>
    <w:rsid w:val="00611422"/>
    <w:rsid w:val="00616538"/>
    <w:rsid w:val="006169F6"/>
    <w:rsid w:val="00617861"/>
    <w:rsid w:val="00617C7F"/>
    <w:rsid w:val="00620473"/>
    <w:rsid w:val="00620B4B"/>
    <w:rsid w:val="00624FD7"/>
    <w:rsid w:val="00627291"/>
    <w:rsid w:val="006277BF"/>
    <w:rsid w:val="006335D4"/>
    <w:rsid w:val="00634CBF"/>
    <w:rsid w:val="006412A6"/>
    <w:rsid w:val="00641ADC"/>
    <w:rsid w:val="00647946"/>
    <w:rsid w:val="0065357C"/>
    <w:rsid w:val="0065421F"/>
    <w:rsid w:val="00660B12"/>
    <w:rsid w:val="00662F96"/>
    <w:rsid w:val="00665C91"/>
    <w:rsid w:val="006679D2"/>
    <w:rsid w:val="00671052"/>
    <w:rsid w:val="00672B7F"/>
    <w:rsid w:val="0067307D"/>
    <w:rsid w:val="006736D9"/>
    <w:rsid w:val="006765EF"/>
    <w:rsid w:val="006770AF"/>
    <w:rsid w:val="006839CB"/>
    <w:rsid w:val="006905E6"/>
    <w:rsid w:val="00692803"/>
    <w:rsid w:val="0069301F"/>
    <w:rsid w:val="006931D4"/>
    <w:rsid w:val="00693552"/>
    <w:rsid w:val="0069396F"/>
    <w:rsid w:val="00694846"/>
    <w:rsid w:val="00695F41"/>
    <w:rsid w:val="00696806"/>
    <w:rsid w:val="00697D7E"/>
    <w:rsid w:val="006A1016"/>
    <w:rsid w:val="006A102E"/>
    <w:rsid w:val="006A10B0"/>
    <w:rsid w:val="006A137E"/>
    <w:rsid w:val="006A18A5"/>
    <w:rsid w:val="006A4A5E"/>
    <w:rsid w:val="006B0E78"/>
    <w:rsid w:val="006B32B1"/>
    <w:rsid w:val="006B6C2A"/>
    <w:rsid w:val="006C00E6"/>
    <w:rsid w:val="006C14D9"/>
    <w:rsid w:val="006C2010"/>
    <w:rsid w:val="006C692D"/>
    <w:rsid w:val="006D1B56"/>
    <w:rsid w:val="006D2890"/>
    <w:rsid w:val="006D2BA0"/>
    <w:rsid w:val="006D4E88"/>
    <w:rsid w:val="006E053E"/>
    <w:rsid w:val="006E2C58"/>
    <w:rsid w:val="006E5EB6"/>
    <w:rsid w:val="006E7EA1"/>
    <w:rsid w:val="006F0986"/>
    <w:rsid w:val="006F1EF9"/>
    <w:rsid w:val="006F686F"/>
    <w:rsid w:val="006F72B3"/>
    <w:rsid w:val="00705B6F"/>
    <w:rsid w:val="007068FE"/>
    <w:rsid w:val="00711093"/>
    <w:rsid w:val="007112F9"/>
    <w:rsid w:val="00713F79"/>
    <w:rsid w:val="00716EA2"/>
    <w:rsid w:val="007172DD"/>
    <w:rsid w:val="00720995"/>
    <w:rsid w:val="007242B2"/>
    <w:rsid w:val="007343B4"/>
    <w:rsid w:val="0074190E"/>
    <w:rsid w:val="00742C48"/>
    <w:rsid w:val="00745639"/>
    <w:rsid w:val="00747397"/>
    <w:rsid w:val="007505EF"/>
    <w:rsid w:val="00751447"/>
    <w:rsid w:val="00754E5E"/>
    <w:rsid w:val="007552AF"/>
    <w:rsid w:val="00757259"/>
    <w:rsid w:val="007627E7"/>
    <w:rsid w:val="00762B54"/>
    <w:rsid w:val="0076505F"/>
    <w:rsid w:val="00767DEC"/>
    <w:rsid w:val="007704BE"/>
    <w:rsid w:val="00772626"/>
    <w:rsid w:val="00772A37"/>
    <w:rsid w:val="007757CD"/>
    <w:rsid w:val="00777711"/>
    <w:rsid w:val="007821CC"/>
    <w:rsid w:val="007865B4"/>
    <w:rsid w:val="00792F39"/>
    <w:rsid w:val="007A0D8A"/>
    <w:rsid w:val="007A28E8"/>
    <w:rsid w:val="007A63F3"/>
    <w:rsid w:val="007A6ADA"/>
    <w:rsid w:val="007B0E77"/>
    <w:rsid w:val="007B1F05"/>
    <w:rsid w:val="007B2FE8"/>
    <w:rsid w:val="007B66C2"/>
    <w:rsid w:val="007B6E72"/>
    <w:rsid w:val="007C1E13"/>
    <w:rsid w:val="007C254F"/>
    <w:rsid w:val="007C3349"/>
    <w:rsid w:val="007C526E"/>
    <w:rsid w:val="007C6A26"/>
    <w:rsid w:val="007D7BEB"/>
    <w:rsid w:val="007E0309"/>
    <w:rsid w:val="007E0505"/>
    <w:rsid w:val="007E26EF"/>
    <w:rsid w:val="007E43B2"/>
    <w:rsid w:val="007E6A98"/>
    <w:rsid w:val="007E7EDC"/>
    <w:rsid w:val="007F25E6"/>
    <w:rsid w:val="007F2FE1"/>
    <w:rsid w:val="007F4FBE"/>
    <w:rsid w:val="007F77DD"/>
    <w:rsid w:val="008000A6"/>
    <w:rsid w:val="00802445"/>
    <w:rsid w:val="0080371F"/>
    <w:rsid w:val="00812653"/>
    <w:rsid w:val="00814D29"/>
    <w:rsid w:val="00815A90"/>
    <w:rsid w:val="008177AC"/>
    <w:rsid w:val="00817F6A"/>
    <w:rsid w:val="008206DB"/>
    <w:rsid w:val="00824AA2"/>
    <w:rsid w:val="00826B5E"/>
    <w:rsid w:val="00832106"/>
    <w:rsid w:val="00832CD9"/>
    <w:rsid w:val="00833C64"/>
    <w:rsid w:val="00837B8E"/>
    <w:rsid w:val="00840348"/>
    <w:rsid w:val="008412E4"/>
    <w:rsid w:val="00842B4B"/>
    <w:rsid w:val="00844299"/>
    <w:rsid w:val="008446B9"/>
    <w:rsid w:val="00845C3C"/>
    <w:rsid w:val="00845E61"/>
    <w:rsid w:val="008463FB"/>
    <w:rsid w:val="00850F12"/>
    <w:rsid w:val="00852D1A"/>
    <w:rsid w:val="0085349D"/>
    <w:rsid w:val="00854C99"/>
    <w:rsid w:val="0085528B"/>
    <w:rsid w:val="00855ED6"/>
    <w:rsid w:val="00855FCE"/>
    <w:rsid w:val="008568F5"/>
    <w:rsid w:val="00857F9A"/>
    <w:rsid w:val="00861CB9"/>
    <w:rsid w:val="00861F56"/>
    <w:rsid w:val="00865C60"/>
    <w:rsid w:val="0086770F"/>
    <w:rsid w:val="00870AEA"/>
    <w:rsid w:val="00871FBE"/>
    <w:rsid w:val="00873B59"/>
    <w:rsid w:val="00875587"/>
    <w:rsid w:val="00877282"/>
    <w:rsid w:val="00877CBB"/>
    <w:rsid w:val="00881E38"/>
    <w:rsid w:val="00882151"/>
    <w:rsid w:val="008853EA"/>
    <w:rsid w:val="00891F21"/>
    <w:rsid w:val="00892DB6"/>
    <w:rsid w:val="00893FF6"/>
    <w:rsid w:val="00894A6B"/>
    <w:rsid w:val="00897B82"/>
    <w:rsid w:val="00897F34"/>
    <w:rsid w:val="008A1F0A"/>
    <w:rsid w:val="008A374D"/>
    <w:rsid w:val="008A50FB"/>
    <w:rsid w:val="008B2B41"/>
    <w:rsid w:val="008C3C68"/>
    <w:rsid w:val="008C4A54"/>
    <w:rsid w:val="008C4AD2"/>
    <w:rsid w:val="008D1444"/>
    <w:rsid w:val="008D61C7"/>
    <w:rsid w:val="008D6D50"/>
    <w:rsid w:val="008D7011"/>
    <w:rsid w:val="008D75EE"/>
    <w:rsid w:val="008D7B4E"/>
    <w:rsid w:val="008E0949"/>
    <w:rsid w:val="008E3AAE"/>
    <w:rsid w:val="008F031D"/>
    <w:rsid w:val="008F0EAF"/>
    <w:rsid w:val="008F1EF8"/>
    <w:rsid w:val="008F2C0C"/>
    <w:rsid w:val="009027CA"/>
    <w:rsid w:val="00903850"/>
    <w:rsid w:val="009040EF"/>
    <w:rsid w:val="00904C65"/>
    <w:rsid w:val="00917EE9"/>
    <w:rsid w:val="00922235"/>
    <w:rsid w:val="00924F06"/>
    <w:rsid w:val="00930ADA"/>
    <w:rsid w:val="00930D52"/>
    <w:rsid w:val="00932248"/>
    <w:rsid w:val="00932B9E"/>
    <w:rsid w:val="0093333F"/>
    <w:rsid w:val="00934D71"/>
    <w:rsid w:val="009377F9"/>
    <w:rsid w:val="00940CD3"/>
    <w:rsid w:val="009416B2"/>
    <w:rsid w:val="00950925"/>
    <w:rsid w:val="0095114F"/>
    <w:rsid w:val="00953934"/>
    <w:rsid w:val="009555F1"/>
    <w:rsid w:val="0095604B"/>
    <w:rsid w:val="009612B8"/>
    <w:rsid w:val="009622C0"/>
    <w:rsid w:val="00963987"/>
    <w:rsid w:val="00963C29"/>
    <w:rsid w:val="0096452A"/>
    <w:rsid w:val="00967A55"/>
    <w:rsid w:val="009702D0"/>
    <w:rsid w:val="0097318E"/>
    <w:rsid w:val="0097388E"/>
    <w:rsid w:val="0097451E"/>
    <w:rsid w:val="00975AD4"/>
    <w:rsid w:val="0098135E"/>
    <w:rsid w:val="009857E9"/>
    <w:rsid w:val="009865C9"/>
    <w:rsid w:val="00990B83"/>
    <w:rsid w:val="00992D2D"/>
    <w:rsid w:val="00993B61"/>
    <w:rsid w:val="00996D58"/>
    <w:rsid w:val="00997451"/>
    <w:rsid w:val="009A0C90"/>
    <w:rsid w:val="009A0EE0"/>
    <w:rsid w:val="009A2644"/>
    <w:rsid w:val="009A2D9A"/>
    <w:rsid w:val="009B1140"/>
    <w:rsid w:val="009B57EF"/>
    <w:rsid w:val="009B6456"/>
    <w:rsid w:val="009C6B3E"/>
    <w:rsid w:val="009D1C01"/>
    <w:rsid w:val="009D4B1D"/>
    <w:rsid w:val="009D525D"/>
    <w:rsid w:val="009D5652"/>
    <w:rsid w:val="009D7271"/>
    <w:rsid w:val="009E13A0"/>
    <w:rsid w:val="009E507F"/>
    <w:rsid w:val="009F16F1"/>
    <w:rsid w:val="009F29F6"/>
    <w:rsid w:val="009F77BE"/>
    <w:rsid w:val="00A01E65"/>
    <w:rsid w:val="00A04F34"/>
    <w:rsid w:val="00A07589"/>
    <w:rsid w:val="00A10E94"/>
    <w:rsid w:val="00A14616"/>
    <w:rsid w:val="00A14B77"/>
    <w:rsid w:val="00A237E6"/>
    <w:rsid w:val="00A24F01"/>
    <w:rsid w:val="00A261E4"/>
    <w:rsid w:val="00A36D59"/>
    <w:rsid w:val="00A37E8A"/>
    <w:rsid w:val="00A42D08"/>
    <w:rsid w:val="00A4423B"/>
    <w:rsid w:val="00A4444B"/>
    <w:rsid w:val="00A4450D"/>
    <w:rsid w:val="00A446CB"/>
    <w:rsid w:val="00A50234"/>
    <w:rsid w:val="00A51E1A"/>
    <w:rsid w:val="00A52D23"/>
    <w:rsid w:val="00A53128"/>
    <w:rsid w:val="00A603DC"/>
    <w:rsid w:val="00A60D5F"/>
    <w:rsid w:val="00A6637A"/>
    <w:rsid w:val="00A66F81"/>
    <w:rsid w:val="00A70E73"/>
    <w:rsid w:val="00A7100C"/>
    <w:rsid w:val="00A7490D"/>
    <w:rsid w:val="00A80C62"/>
    <w:rsid w:val="00A82979"/>
    <w:rsid w:val="00A87EE6"/>
    <w:rsid w:val="00A9285F"/>
    <w:rsid w:val="00A92E19"/>
    <w:rsid w:val="00A934D1"/>
    <w:rsid w:val="00A950C1"/>
    <w:rsid w:val="00A95497"/>
    <w:rsid w:val="00A95C65"/>
    <w:rsid w:val="00A96D96"/>
    <w:rsid w:val="00A971D4"/>
    <w:rsid w:val="00AB184B"/>
    <w:rsid w:val="00AB38C8"/>
    <w:rsid w:val="00AB3A57"/>
    <w:rsid w:val="00AC03A8"/>
    <w:rsid w:val="00AC60EC"/>
    <w:rsid w:val="00AD3283"/>
    <w:rsid w:val="00AD369F"/>
    <w:rsid w:val="00AD7307"/>
    <w:rsid w:val="00AE207C"/>
    <w:rsid w:val="00AE41B4"/>
    <w:rsid w:val="00AE6164"/>
    <w:rsid w:val="00AE6D74"/>
    <w:rsid w:val="00AE78AE"/>
    <w:rsid w:val="00AF1E20"/>
    <w:rsid w:val="00AF435F"/>
    <w:rsid w:val="00AF48E4"/>
    <w:rsid w:val="00AF5280"/>
    <w:rsid w:val="00AF5AC5"/>
    <w:rsid w:val="00AF5ED2"/>
    <w:rsid w:val="00B00AFA"/>
    <w:rsid w:val="00B03409"/>
    <w:rsid w:val="00B04862"/>
    <w:rsid w:val="00B16EB9"/>
    <w:rsid w:val="00B17F7D"/>
    <w:rsid w:val="00B20EFA"/>
    <w:rsid w:val="00B23B47"/>
    <w:rsid w:val="00B243B3"/>
    <w:rsid w:val="00B2662B"/>
    <w:rsid w:val="00B319CA"/>
    <w:rsid w:val="00B33192"/>
    <w:rsid w:val="00B34ED6"/>
    <w:rsid w:val="00B3661C"/>
    <w:rsid w:val="00B3719C"/>
    <w:rsid w:val="00B37E55"/>
    <w:rsid w:val="00B42B94"/>
    <w:rsid w:val="00B44C58"/>
    <w:rsid w:val="00B475D1"/>
    <w:rsid w:val="00B5132E"/>
    <w:rsid w:val="00B5217C"/>
    <w:rsid w:val="00B537BF"/>
    <w:rsid w:val="00B551CE"/>
    <w:rsid w:val="00B651DD"/>
    <w:rsid w:val="00B65253"/>
    <w:rsid w:val="00B6682E"/>
    <w:rsid w:val="00B71012"/>
    <w:rsid w:val="00B75EDC"/>
    <w:rsid w:val="00B76A5A"/>
    <w:rsid w:val="00B81C24"/>
    <w:rsid w:val="00B8314C"/>
    <w:rsid w:val="00B85F0E"/>
    <w:rsid w:val="00B927E5"/>
    <w:rsid w:val="00B968FB"/>
    <w:rsid w:val="00B97F7B"/>
    <w:rsid w:val="00BA108A"/>
    <w:rsid w:val="00BA3AB6"/>
    <w:rsid w:val="00BB0720"/>
    <w:rsid w:val="00BB11DB"/>
    <w:rsid w:val="00BB245F"/>
    <w:rsid w:val="00BB33B4"/>
    <w:rsid w:val="00BB59FA"/>
    <w:rsid w:val="00BC1E62"/>
    <w:rsid w:val="00BC220F"/>
    <w:rsid w:val="00BC236D"/>
    <w:rsid w:val="00BC7933"/>
    <w:rsid w:val="00BC7DD0"/>
    <w:rsid w:val="00BD2241"/>
    <w:rsid w:val="00BD6A12"/>
    <w:rsid w:val="00BD7826"/>
    <w:rsid w:val="00BE02CA"/>
    <w:rsid w:val="00BE069B"/>
    <w:rsid w:val="00BE4321"/>
    <w:rsid w:val="00BE43CA"/>
    <w:rsid w:val="00BE4448"/>
    <w:rsid w:val="00BE777D"/>
    <w:rsid w:val="00BF0C7A"/>
    <w:rsid w:val="00BF0DF6"/>
    <w:rsid w:val="00BF2A6E"/>
    <w:rsid w:val="00BF5620"/>
    <w:rsid w:val="00BF5657"/>
    <w:rsid w:val="00C01849"/>
    <w:rsid w:val="00C10CD3"/>
    <w:rsid w:val="00C12803"/>
    <w:rsid w:val="00C12EFF"/>
    <w:rsid w:val="00C17EEB"/>
    <w:rsid w:val="00C218D7"/>
    <w:rsid w:val="00C21A7B"/>
    <w:rsid w:val="00C24AAD"/>
    <w:rsid w:val="00C3061A"/>
    <w:rsid w:val="00C34DDD"/>
    <w:rsid w:val="00C35108"/>
    <w:rsid w:val="00C37DD2"/>
    <w:rsid w:val="00C37F5E"/>
    <w:rsid w:val="00C41087"/>
    <w:rsid w:val="00C4149E"/>
    <w:rsid w:val="00C523A8"/>
    <w:rsid w:val="00C52BA5"/>
    <w:rsid w:val="00C535E1"/>
    <w:rsid w:val="00C53CE8"/>
    <w:rsid w:val="00C53FD2"/>
    <w:rsid w:val="00C60399"/>
    <w:rsid w:val="00C624EC"/>
    <w:rsid w:val="00C63D67"/>
    <w:rsid w:val="00C676EB"/>
    <w:rsid w:val="00C7222C"/>
    <w:rsid w:val="00C73AA7"/>
    <w:rsid w:val="00C7554E"/>
    <w:rsid w:val="00C8303F"/>
    <w:rsid w:val="00C85254"/>
    <w:rsid w:val="00C909EF"/>
    <w:rsid w:val="00C91371"/>
    <w:rsid w:val="00C95E96"/>
    <w:rsid w:val="00CA2E11"/>
    <w:rsid w:val="00CA3FD6"/>
    <w:rsid w:val="00CA4FA4"/>
    <w:rsid w:val="00CA5324"/>
    <w:rsid w:val="00CA56D5"/>
    <w:rsid w:val="00CA66E4"/>
    <w:rsid w:val="00CB0E59"/>
    <w:rsid w:val="00CB6C35"/>
    <w:rsid w:val="00CC4734"/>
    <w:rsid w:val="00CC6240"/>
    <w:rsid w:val="00CC6D66"/>
    <w:rsid w:val="00CC75BC"/>
    <w:rsid w:val="00CE13B0"/>
    <w:rsid w:val="00CF0027"/>
    <w:rsid w:val="00CF2902"/>
    <w:rsid w:val="00CF4EC4"/>
    <w:rsid w:val="00CF57A3"/>
    <w:rsid w:val="00CF7114"/>
    <w:rsid w:val="00CF784F"/>
    <w:rsid w:val="00D0008C"/>
    <w:rsid w:val="00D0193F"/>
    <w:rsid w:val="00D030C5"/>
    <w:rsid w:val="00D033CC"/>
    <w:rsid w:val="00D05456"/>
    <w:rsid w:val="00D06172"/>
    <w:rsid w:val="00D10F0C"/>
    <w:rsid w:val="00D13851"/>
    <w:rsid w:val="00D1763E"/>
    <w:rsid w:val="00D20BBC"/>
    <w:rsid w:val="00D22470"/>
    <w:rsid w:val="00D22C79"/>
    <w:rsid w:val="00D22F30"/>
    <w:rsid w:val="00D276B2"/>
    <w:rsid w:val="00D276EA"/>
    <w:rsid w:val="00D2770C"/>
    <w:rsid w:val="00D33BCC"/>
    <w:rsid w:val="00D36470"/>
    <w:rsid w:val="00D40DAC"/>
    <w:rsid w:val="00D441A6"/>
    <w:rsid w:val="00D449BB"/>
    <w:rsid w:val="00D450B2"/>
    <w:rsid w:val="00D45371"/>
    <w:rsid w:val="00D50072"/>
    <w:rsid w:val="00D53FC7"/>
    <w:rsid w:val="00D541AB"/>
    <w:rsid w:val="00D5723C"/>
    <w:rsid w:val="00D62126"/>
    <w:rsid w:val="00D64901"/>
    <w:rsid w:val="00D66653"/>
    <w:rsid w:val="00D66D77"/>
    <w:rsid w:val="00D71A34"/>
    <w:rsid w:val="00D7211A"/>
    <w:rsid w:val="00D72A62"/>
    <w:rsid w:val="00D73404"/>
    <w:rsid w:val="00D74996"/>
    <w:rsid w:val="00D771BB"/>
    <w:rsid w:val="00D77CC9"/>
    <w:rsid w:val="00D82D7C"/>
    <w:rsid w:val="00D8443C"/>
    <w:rsid w:val="00D84602"/>
    <w:rsid w:val="00D8514E"/>
    <w:rsid w:val="00D87540"/>
    <w:rsid w:val="00D90FE9"/>
    <w:rsid w:val="00D93212"/>
    <w:rsid w:val="00D93B21"/>
    <w:rsid w:val="00D93B50"/>
    <w:rsid w:val="00D94B20"/>
    <w:rsid w:val="00D967FC"/>
    <w:rsid w:val="00DA36A9"/>
    <w:rsid w:val="00DA37B4"/>
    <w:rsid w:val="00DA3893"/>
    <w:rsid w:val="00DA4785"/>
    <w:rsid w:val="00DA717C"/>
    <w:rsid w:val="00DA72C4"/>
    <w:rsid w:val="00DB2465"/>
    <w:rsid w:val="00DB4D4F"/>
    <w:rsid w:val="00DB6775"/>
    <w:rsid w:val="00DB74D3"/>
    <w:rsid w:val="00DC17A4"/>
    <w:rsid w:val="00DC456B"/>
    <w:rsid w:val="00DC4810"/>
    <w:rsid w:val="00DC570D"/>
    <w:rsid w:val="00DC7E37"/>
    <w:rsid w:val="00DD1A67"/>
    <w:rsid w:val="00DD2597"/>
    <w:rsid w:val="00DD400F"/>
    <w:rsid w:val="00DD566F"/>
    <w:rsid w:val="00DD60FC"/>
    <w:rsid w:val="00DE0320"/>
    <w:rsid w:val="00DE083E"/>
    <w:rsid w:val="00DE1BC4"/>
    <w:rsid w:val="00DE23F4"/>
    <w:rsid w:val="00DE42A2"/>
    <w:rsid w:val="00DF1DAC"/>
    <w:rsid w:val="00DF4692"/>
    <w:rsid w:val="00DF52B7"/>
    <w:rsid w:val="00DF685E"/>
    <w:rsid w:val="00DF779D"/>
    <w:rsid w:val="00DF7D20"/>
    <w:rsid w:val="00E020A7"/>
    <w:rsid w:val="00E0429C"/>
    <w:rsid w:val="00E11B0E"/>
    <w:rsid w:val="00E12510"/>
    <w:rsid w:val="00E137ED"/>
    <w:rsid w:val="00E153B9"/>
    <w:rsid w:val="00E1794C"/>
    <w:rsid w:val="00E23250"/>
    <w:rsid w:val="00E23D50"/>
    <w:rsid w:val="00E30EDD"/>
    <w:rsid w:val="00E31D81"/>
    <w:rsid w:val="00E3204E"/>
    <w:rsid w:val="00E32F52"/>
    <w:rsid w:val="00E3345D"/>
    <w:rsid w:val="00E340F9"/>
    <w:rsid w:val="00E374CA"/>
    <w:rsid w:val="00E41426"/>
    <w:rsid w:val="00E416D4"/>
    <w:rsid w:val="00E43961"/>
    <w:rsid w:val="00E44CDB"/>
    <w:rsid w:val="00E45207"/>
    <w:rsid w:val="00E513EE"/>
    <w:rsid w:val="00E516E3"/>
    <w:rsid w:val="00E52C36"/>
    <w:rsid w:val="00E55767"/>
    <w:rsid w:val="00E557BA"/>
    <w:rsid w:val="00E57250"/>
    <w:rsid w:val="00E57C58"/>
    <w:rsid w:val="00E61609"/>
    <w:rsid w:val="00E67440"/>
    <w:rsid w:val="00E677B4"/>
    <w:rsid w:val="00E70EA1"/>
    <w:rsid w:val="00E71946"/>
    <w:rsid w:val="00E727B1"/>
    <w:rsid w:val="00E8050B"/>
    <w:rsid w:val="00E854C2"/>
    <w:rsid w:val="00E8678B"/>
    <w:rsid w:val="00E902D2"/>
    <w:rsid w:val="00E90400"/>
    <w:rsid w:val="00E92545"/>
    <w:rsid w:val="00E95FDE"/>
    <w:rsid w:val="00EA111B"/>
    <w:rsid w:val="00EA2410"/>
    <w:rsid w:val="00EA34FF"/>
    <w:rsid w:val="00EB008E"/>
    <w:rsid w:val="00EB1F92"/>
    <w:rsid w:val="00EB29D7"/>
    <w:rsid w:val="00EB2D2E"/>
    <w:rsid w:val="00EB4215"/>
    <w:rsid w:val="00EB6F5C"/>
    <w:rsid w:val="00EC693E"/>
    <w:rsid w:val="00ED04DF"/>
    <w:rsid w:val="00ED0754"/>
    <w:rsid w:val="00ED07C6"/>
    <w:rsid w:val="00ED1CFF"/>
    <w:rsid w:val="00ED20C6"/>
    <w:rsid w:val="00ED2AF3"/>
    <w:rsid w:val="00ED4802"/>
    <w:rsid w:val="00EE01FA"/>
    <w:rsid w:val="00EE053A"/>
    <w:rsid w:val="00EE2240"/>
    <w:rsid w:val="00EE3AB4"/>
    <w:rsid w:val="00EE4167"/>
    <w:rsid w:val="00EE45AD"/>
    <w:rsid w:val="00EE58D9"/>
    <w:rsid w:val="00EE77E2"/>
    <w:rsid w:val="00EF1186"/>
    <w:rsid w:val="00EF5E83"/>
    <w:rsid w:val="00EF6501"/>
    <w:rsid w:val="00F051C3"/>
    <w:rsid w:val="00F05F0F"/>
    <w:rsid w:val="00F10845"/>
    <w:rsid w:val="00F1696D"/>
    <w:rsid w:val="00F20A01"/>
    <w:rsid w:val="00F221FF"/>
    <w:rsid w:val="00F24B15"/>
    <w:rsid w:val="00F2719C"/>
    <w:rsid w:val="00F27B9A"/>
    <w:rsid w:val="00F27DDF"/>
    <w:rsid w:val="00F308A4"/>
    <w:rsid w:val="00F31F22"/>
    <w:rsid w:val="00F33341"/>
    <w:rsid w:val="00F33B12"/>
    <w:rsid w:val="00F36845"/>
    <w:rsid w:val="00F44B9A"/>
    <w:rsid w:val="00F45158"/>
    <w:rsid w:val="00F4637C"/>
    <w:rsid w:val="00F51B0C"/>
    <w:rsid w:val="00F53464"/>
    <w:rsid w:val="00F60CC2"/>
    <w:rsid w:val="00F61E09"/>
    <w:rsid w:val="00F627ED"/>
    <w:rsid w:val="00F63647"/>
    <w:rsid w:val="00F67536"/>
    <w:rsid w:val="00F679AA"/>
    <w:rsid w:val="00F7010B"/>
    <w:rsid w:val="00F714AC"/>
    <w:rsid w:val="00F7267C"/>
    <w:rsid w:val="00F72CFB"/>
    <w:rsid w:val="00F7391B"/>
    <w:rsid w:val="00F74B3F"/>
    <w:rsid w:val="00F80908"/>
    <w:rsid w:val="00F83FA7"/>
    <w:rsid w:val="00F94214"/>
    <w:rsid w:val="00F96EDE"/>
    <w:rsid w:val="00FA0462"/>
    <w:rsid w:val="00FA179C"/>
    <w:rsid w:val="00FA38C6"/>
    <w:rsid w:val="00FA48EA"/>
    <w:rsid w:val="00FA5379"/>
    <w:rsid w:val="00FA585A"/>
    <w:rsid w:val="00FB126D"/>
    <w:rsid w:val="00FB2B20"/>
    <w:rsid w:val="00FB2EE6"/>
    <w:rsid w:val="00FB3834"/>
    <w:rsid w:val="00FB41C5"/>
    <w:rsid w:val="00FB474E"/>
    <w:rsid w:val="00FB6011"/>
    <w:rsid w:val="00FB6FE5"/>
    <w:rsid w:val="00FC2768"/>
    <w:rsid w:val="00FC47B0"/>
    <w:rsid w:val="00FC79BF"/>
    <w:rsid w:val="00FC7F45"/>
    <w:rsid w:val="00FD11A8"/>
    <w:rsid w:val="00FD43C7"/>
    <w:rsid w:val="00FD4800"/>
    <w:rsid w:val="00FF0D5C"/>
    <w:rsid w:val="00FF1C79"/>
    <w:rsid w:val="00FF7B33"/>
    <w:rsid w:val="02285106"/>
    <w:rsid w:val="0AAD7830"/>
    <w:rsid w:val="0ABD2798"/>
    <w:rsid w:val="0CF16768"/>
    <w:rsid w:val="19A05FC4"/>
    <w:rsid w:val="1AB12EC4"/>
    <w:rsid w:val="1C6909E3"/>
    <w:rsid w:val="1E404B5F"/>
    <w:rsid w:val="1EA54290"/>
    <w:rsid w:val="21DB7537"/>
    <w:rsid w:val="283F74C3"/>
    <w:rsid w:val="284F3C57"/>
    <w:rsid w:val="28712EFE"/>
    <w:rsid w:val="28C1395D"/>
    <w:rsid w:val="2CC15C1C"/>
    <w:rsid w:val="320E702B"/>
    <w:rsid w:val="32912299"/>
    <w:rsid w:val="3961778E"/>
    <w:rsid w:val="3C0A68D3"/>
    <w:rsid w:val="3C4A62C9"/>
    <w:rsid w:val="3DA402E0"/>
    <w:rsid w:val="3E923574"/>
    <w:rsid w:val="42DE5970"/>
    <w:rsid w:val="46CB0B5A"/>
    <w:rsid w:val="47E73B3F"/>
    <w:rsid w:val="4A320939"/>
    <w:rsid w:val="4BE259B9"/>
    <w:rsid w:val="4F843866"/>
    <w:rsid w:val="4FB15796"/>
    <w:rsid w:val="500E3B02"/>
    <w:rsid w:val="50A14352"/>
    <w:rsid w:val="523A502D"/>
    <w:rsid w:val="52CF6FA3"/>
    <w:rsid w:val="538B205F"/>
    <w:rsid w:val="550340BB"/>
    <w:rsid w:val="55EE5313"/>
    <w:rsid w:val="58276ACD"/>
    <w:rsid w:val="582A713A"/>
    <w:rsid w:val="5A5B0487"/>
    <w:rsid w:val="5B3F40C1"/>
    <w:rsid w:val="5F415E0B"/>
    <w:rsid w:val="5FD57DB7"/>
    <w:rsid w:val="608851C7"/>
    <w:rsid w:val="60C17A10"/>
    <w:rsid w:val="63604B8C"/>
    <w:rsid w:val="656631EB"/>
    <w:rsid w:val="6DC26B37"/>
    <w:rsid w:val="6E093815"/>
    <w:rsid w:val="6F426C68"/>
    <w:rsid w:val="727E647C"/>
    <w:rsid w:val="7B8342A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qFormat="1"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黑体"/>
      <w:kern w:val="2"/>
      <w:sz w:val="24"/>
      <w:szCs w:val="24"/>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Calibri" w:hAnsi="Calibr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3"/>
    <w:semiHidden/>
    <w:unhideWhenUsed/>
    <w:qFormat/>
    <w:uiPriority w:val="0"/>
    <w:rPr>
      <w:rFonts w:ascii="宋体"/>
      <w:sz w:val="18"/>
      <w:szCs w:val="18"/>
    </w:rPr>
  </w:style>
  <w:style w:type="paragraph" w:styleId="6">
    <w:name w:val="annotation text"/>
    <w:basedOn w:val="1"/>
    <w:link w:val="27"/>
    <w:unhideWhenUsed/>
    <w:qFormat/>
    <w:uiPriority w:val="99"/>
    <w:pPr>
      <w:jc w:val="left"/>
    </w:pPr>
  </w:style>
  <w:style w:type="paragraph" w:styleId="7">
    <w:name w:val="Date"/>
    <w:basedOn w:val="1"/>
    <w:next w:val="1"/>
    <w:link w:val="26"/>
    <w:unhideWhenUsed/>
    <w:qFormat/>
    <w:uiPriority w:val="99"/>
    <w:pPr>
      <w:ind w:left="100" w:leftChars="2500"/>
    </w:pPr>
    <w:rPr>
      <w:sz w:val="32"/>
      <w:szCs w:val="32"/>
    </w:rPr>
  </w:style>
  <w:style w:type="paragraph" w:styleId="8">
    <w:name w:val="Balloon Text"/>
    <w:basedOn w:val="1"/>
    <w:link w:val="24"/>
    <w:unhideWhenUsed/>
    <w:qFormat/>
    <w:uiPriority w:val="99"/>
    <w:rPr>
      <w:rFonts w:ascii="Heiti SC Light" w:eastAsia="Heiti SC Light"/>
      <w:sz w:val="18"/>
      <w:szCs w:val="18"/>
    </w:rPr>
  </w:style>
  <w:style w:type="paragraph" w:styleId="9">
    <w:name w:val="footer"/>
    <w:basedOn w:val="1"/>
    <w:link w:val="31"/>
    <w:unhideWhenUsed/>
    <w:qFormat/>
    <w:uiPriority w:val="99"/>
    <w:pPr>
      <w:tabs>
        <w:tab w:val="center" w:pos="4153"/>
        <w:tab w:val="right" w:pos="8306"/>
      </w:tabs>
      <w:snapToGrid w:val="0"/>
      <w:jc w:val="left"/>
    </w:pPr>
    <w:rPr>
      <w:sz w:val="18"/>
      <w:szCs w:val="18"/>
    </w:rPr>
  </w:style>
  <w:style w:type="paragraph" w:styleId="10">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rPr>
  </w:style>
  <w:style w:type="paragraph" w:styleId="12">
    <w:name w:val="annotation subject"/>
    <w:basedOn w:val="6"/>
    <w:next w:val="6"/>
    <w:link w:val="28"/>
    <w:unhideWhenUsed/>
    <w:qFormat/>
    <w:uiPriority w:val="99"/>
    <w:rPr>
      <w:b/>
      <w:bCs/>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unhideWhenUsed/>
    <w:qFormat/>
    <w:uiPriority w:val="99"/>
    <w:rPr>
      <w:sz w:val="21"/>
      <w:szCs w:val="21"/>
    </w:rPr>
  </w:style>
  <w:style w:type="paragraph" w:customStyle="1" w:styleId="17">
    <w:name w:val="列出段落1"/>
    <w:basedOn w:val="1"/>
    <w:qFormat/>
    <w:uiPriority w:val="34"/>
    <w:pPr>
      <w:ind w:firstLine="420" w:firstLineChars="200"/>
    </w:pPr>
  </w:style>
  <w:style w:type="paragraph" w:customStyle="1" w:styleId="18">
    <w:name w:val="列出段落2"/>
    <w:basedOn w:val="1"/>
    <w:unhideWhenUsed/>
    <w:qFormat/>
    <w:uiPriority w:val="34"/>
    <w:pPr>
      <w:ind w:firstLine="420" w:firstLineChars="200"/>
    </w:pPr>
    <w:rPr>
      <w:sz w:val="21"/>
    </w:rPr>
  </w:style>
  <w:style w:type="paragraph" w:customStyle="1" w:styleId="19">
    <w:name w:val="列出段落3"/>
    <w:basedOn w:val="1"/>
    <w:qFormat/>
    <w:uiPriority w:val="34"/>
    <w:pPr>
      <w:ind w:firstLine="420" w:firstLineChars="200"/>
    </w:pPr>
  </w:style>
  <w:style w:type="paragraph" w:customStyle="1" w:styleId="20">
    <w:name w:val="修订1"/>
    <w:hidden/>
    <w:semiHidden/>
    <w:qFormat/>
    <w:uiPriority w:val="99"/>
    <w:rPr>
      <w:rFonts w:ascii="Cambria" w:hAnsi="Cambria" w:eastAsia="宋体" w:cs="黑体"/>
      <w:kern w:val="2"/>
      <w:sz w:val="24"/>
      <w:szCs w:val="24"/>
      <w:lang w:val="en-US" w:eastAsia="zh-CN" w:bidi="ar-SA"/>
    </w:rPr>
  </w:style>
  <w:style w:type="paragraph" w:customStyle="1" w:styleId="21">
    <w:name w:val="列出段落4"/>
    <w:basedOn w:val="1"/>
    <w:qFormat/>
    <w:uiPriority w:val="99"/>
    <w:pPr>
      <w:ind w:firstLine="420" w:firstLineChars="200"/>
    </w:pPr>
  </w:style>
  <w:style w:type="paragraph" w:customStyle="1" w:styleId="22">
    <w:name w:val="无间隔1"/>
    <w:basedOn w:val="1"/>
    <w:link w:val="32"/>
    <w:qFormat/>
    <w:uiPriority w:val="1"/>
    <w:pPr>
      <w:widowControl/>
      <w:ind w:left="-200" w:firstLine="357"/>
      <w:jc w:val="left"/>
    </w:pPr>
    <w:rPr>
      <w:rFonts w:cs="Times New Roman"/>
      <w:kern w:val="0"/>
      <w:szCs w:val="32"/>
    </w:rPr>
  </w:style>
  <w:style w:type="character" w:customStyle="1" w:styleId="23">
    <w:name w:val="标题 1 字符"/>
    <w:basedOn w:val="15"/>
    <w:link w:val="2"/>
    <w:qFormat/>
    <w:uiPriority w:val="9"/>
    <w:rPr>
      <w:b/>
      <w:bCs/>
      <w:kern w:val="44"/>
      <w:sz w:val="44"/>
      <w:szCs w:val="44"/>
    </w:rPr>
  </w:style>
  <w:style w:type="character" w:customStyle="1" w:styleId="24">
    <w:name w:val="批注框文本 字符"/>
    <w:basedOn w:val="15"/>
    <w:link w:val="8"/>
    <w:semiHidden/>
    <w:qFormat/>
    <w:uiPriority w:val="99"/>
    <w:rPr>
      <w:rFonts w:ascii="Heiti SC Light" w:eastAsia="Heiti SC Light"/>
      <w:sz w:val="18"/>
      <w:szCs w:val="18"/>
    </w:rPr>
  </w:style>
  <w:style w:type="character" w:customStyle="1" w:styleId="25">
    <w:name w:val="标题 2 字符"/>
    <w:basedOn w:val="15"/>
    <w:link w:val="3"/>
    <w:qFormat/>
    <w:uiPriority w:val="9"/>
    <w:rPr>
      <w:rFonts w:ascii="Calibri" w:hAnsi="Calibri" w:eastAsia="宋体" w:cs="黑体"/>
      <w:b/>
      <w:bCs/>
      <w:sz w:val="32"/>
      <w:szCs w:val="32"/>
    </w:rPr>
  </w:style>
  <w:style w:type="character" w:customStyle="1" w:styleId="26">
    <w:name w:val="日期 字符"/>
    <w:basedOn w:val="15"/>
    <w:link w:val="7"/>
    <w:qFormat/>
    <w:uiPriority w:val="99"/>
    <w:rPr>
      <w:sz w:val="32"/>
      <w:szCs w:val="32"/>
    </w:rPr>
  </w:style>
  <w:style w:type="character" w:customStyle="1" w:styleId="27">
    <w:name w:val="批注文字 字符"/>
    <w:basedOn w:val="15"/>
    <w:link w:val="6"/>
    <w:semiHidden/>
    <w:qFormat/>
    <w:uiPriority w:val="99"/>
    <w:rPr>
      <w:kern w:val="2"/>
      <w:sz w:val="24"/>
      <w:szCs w:val="24"/>
    </w:rPr>
  </w:style>
  <w:style w:type="character" w:customStyle="1" w:styleId="28">
    <w:name w:val="批注主题 字符"/>
    <w:basedOn w:val="27"/>
    <w:link w:val="12"/>
    <w:semiHidden/>
    <w:qFormat/>
    <w:uiPriority w:val="99"/>
    <w:rPr>
      <w:b/>
      <w:bCs/>
      <w:kern w:val="2"/>
      <w:sz w:val="24"/>
      <w:szCs w:val="24"/>
    </w:rPr>
  </w:style>
  <w:style w:type="character" w:customStyle="1" w:styleId="29">
    <w:name w:val="标题 3 字符"/>
    <w:basedOn w:val="15"/>
    <w:link w:val="4"/>
    <w:qFormat/>
    <w:uiPriority w:val="9"/>
    <w:rPr>
      <w:b/>
      <w:bCs/>
      <w:sz w:val="32"/>
      <w:szCs w:val="32"/>
    </w:rPr>
  </w:style>
  <w:style w:type="character" w:customStyle="1" w:styleId="30">
    <w:name w:val="页眉 字符"/>
    <w:basedOn w:val="15"/>
    <w:link w:val="10"/>
    <w:qFormat/>
    <w:uiPriority w:val="99"/>
    <w:rPr>
      <w:sz w:val="18"/>
      <w:szCs w:val="18"/>
    </w:rPr>
  </w:style>
  <w:style w:type="character" w:customStyle="1" w:styleId="31">
    <w:name w:val="页脚 字符"/>
    <w:basedOn w:val="15"/>
    <w:link w:val="9"/>
    <w:qFormat/>
    <w:uiPriority w:val="99"/>
    <w:rPr>
      <w:sz w:val="18"/>
      <w:szCs w:val="18"/>
    </w:rPr>
  </w:style>
  <w:style w:type="character" w:customStyle="1" w:styleId="32">
    <w:name w:val="无间隔 Char"/>
    <w:basedOn w:val="15"/>
    <w:link w:val="22"/>
    <w:qFormat/>
    <w:uiPriority w:val="1"/>
    <w:rPr>
      <w:rFonts w:cs="Times New Roman"/>
      <w:kern w:val="0"/>
      <w:szCs w:val="32"/>
    </w:rPr>
  </w:style>
  <w:style w:type="character" w:customStyle="1" w:styleId="33">
    <w:name w:val="文档结构图 字符"/>
    <w:basedOn w:val="15"/>
    <w:link w:val="5"/>
    <w:semiHidden/>
    <w:qFormat/>
    <w:uiPriority w:val="0"/>
    <w:rPr>
      <w:rFonts w:ascii="宋体" w:hAnsi="Cambria" w:cs="黑体"/>
      <w:kern w:val="2"/>
      <w:sz w:val="18"/>
      <w:szCs w:val="18"/>
    </w:rPr>
  </w:style>
  <w:style w:type="paragraph" w:customStyle="1" w:styleId="34">
    <w:name w:val="样式1"/>
    <w:basedOn w:val="1"/>
    <w:link w:val="36"/>
    <w:qFormat/>
    <w:uiPriority w:val="0"/>
    <w:pPr>
      <w:widowControl/>
      <w:adjustRightInd w:val="0"/>
      <w:snapToGrid w:val="0"/>
      <w:spacing w:line="600" w:lineRule="exact"/>
      <w:jc w:val="left"/>
      <w:textAlignment w:val="center"/>
    </w:pPr>
    <w:rPr>
      <w:rFonts w:ascii="楷体" w:hAnsi="楷体" w:eastAsia="楷体" w:cs="宋体"/>
      <w:color w:val="000000"/>
      <w:kern w:val="0"/>
      <w:sz w:val="32"/>
      <w:szCs w:val="32"/>
    </w:rPr>
  </w:style>
  <w:style w:type="paragraph" w:customStyle="1" w:styleId="35">
    <w:name w:val="样式2"/>
    <w:basedOn w:val="3"/>
    <w:link w:val="37"/>
    <w:qFormat/>
    <w:uiPriority w:val="0"/>
    <w:pPr>
      <w:spacing w:before="0" w:after="0" w:line="600" w:lineRule="exact"/>
    </w:pPr>
    <w:rPr>
      <w:rFonts w:ascii="仿宋_GB2312" w:hAnsi="华文仿宋" w:eastAsia="仿宋_GB2312"/>
      <w:kern w:val="0"/>
    </w:rPr>
  </w:style>
  <w:style w:type="character" w:customStyle="1" w:styleId="36">
    <w:name w:val="样式1 Char"/>
    <w:basedOn w:val="15"/>
    <w:link w:val="34"/>
    <w:qFormat/>
    <w:uiPriority w:val="0"/>
    <w:rPr>
      <w:rFonts w:ascii="楷体" w:hAnsi="楷体" w:eastAsia="楷体" w:cs="宋体"/>
      <w:color w:val="000000"/>
      <w:sz w:val="32"/>
      <w:szCs w:val="32"/>
    </w:rPr>
  </w:style>
  <w:style w:type="character" w:customStyle="1" w:styleId="37">
    <w:name w:val="样式2 Char"/>
    <w:basedOn w:val="25"/>
    <w:link w:val="35"/>
    <w:qFormat/>
    <w:uiPriority w:val="0"/>
    <w:rPr>
      <w:rFonts w:ascii="仿宋_GB2312" w:hAnsi="华文仿宋" w:eastAsia="仿宋_GB2312" w:cs="黑体"/>
      <w:sz w:val="32"/>
      <w:szCs w:val="32"/>
    </w:rPr>
  </w:style>
  <w:style w:type="paragraph" w:customStyle="1" w:styleId="38">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table" w:customStyle="1" w:styleId="39">
    <w:name w:val="网格型浅色1"/>
    <w:basedOn w:val="13"/>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40">
    <w:name w:val="无格式表格 11"/>
    <w:basedOn w:val="13"/>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paragraph" w:styleId="41">
    <w:name w:val="No Spacing"/>
    <w:qFormat/>
    <w:uiPriority w:val="1"/>
    <w:rPr>
      <w:rFonts w:asciiTheme="minorHAnsi" w:hAnsiTheme="minorHAnsi" w:eastAsiaTheme="minorEastAsia" w:cstheme="minorBidi"/>
      <w:sz w:val="22"/>
      <w:szCs w:val="22"/>
      <w:lang w:val="en-US" w:eastAsia="zh-CN" w:bidi="ar-SA"/>
    </w:rPr>
  </w:style>
  <w:style w:type="paragraph" w:styleId="4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CC370-34FC-4A47-AF72-FA17881BD58D}">
  <ds:schemaRefs/>
</ds:datastoreItem>
</file>

<file path=docProps/app.xml><?xml version="1.0" encoding="utf-8"?>
<Properties xmlns="http://schemas.openxmlformats.org/officeDocument/2006/extended-properties" xmlns:vt="http://schemas.openxmlformats.org/officeDocument/2006/docPropsVTypes">
  <Template>Normal.dotm</Template>
  <Company>北京邮电大学</Company>
  <Pages>22</Pages>
  <Words>10258</Words>
  <Characters>10651</Characters>
  <Lines>80</Lines>
  <Paragraphs>22</Paragraphs>
  <TotalTime>3</TotalTime>
  <ScaleCrop>false</ScaleCrop>
  <LinksUpToDate>false</LinksUpToDate>
  <CharactersWithSpaces>10755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2020-05-05T04:38:00Z</dcterms:created>
  <dc:creator>洵 谢</dc:creator>
  <cp:lastModifiedBy>jxjyxy</cp:lastModifiedBy>
  <cp:lastPrinted>2021-06-23T01:29:00Z</cp:lastPrinted>
  <dcterms:modified xsi:type="dcterms:W3CDTF">2022-07-13T07:49:07Z</dcterms:modified>
  <dc:title>附件2</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9D51DD2E3FA44DCCBB892FF236B28A51</vt:lpwstr>
  </property>
</Properties>
</file>